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037241" w14:textId="77777777" w:rsidR="00494A88" w:rsidRDefault="00494A88">
      <w:pPr>
        <w:jc w:val="both"/>
        <w:rPr>
          <w:rFonts w:ascii="Calibri" w:eastAsia="Calibri" w:hAnsi="Calibri" w:cs="Calibri"/>
          <w:b/>
          <w:sz w:val="20"/>
          <w:szCs w:val="20"/>
        </w:rPr>
      </w:pPr>
    </w:p>
    <w:p w14:paraId="323C2F9C" w14:textId="77777777" w:rsidR="00494A88" w:rsidRDefault="006541D5">
      <w:pPr>
        <w:pStyle w:val="Titolo2"/>
        <w:widowControl w:val="0"/>
        <w:pBdr>
          <w:top w:val="single" w:sz="4" w:space="1" w:color="000000"/>
          <w:left w:val="single" w:sz="4" w:space="4" w:color="000000"/>
          <w:bottom w:val="single" w:sz="4" w:space="1" w:color="000000"/>
          <w:right w:val="single" w:sz="4" w:space="4" w:color="000000"/>
        </w:pBdr>
        <w:jc w:val="both"/>
        <w:rPr>
          <w:rFonts w:ascii="Calibri" w:eastAsia="Calibri" w:hAnsi="Calibri" w:cs="Calibri"/>
          <w:b w:val="0"/>
          <w:sz w:val="22"/>
          <w:szCs w:val="22"/>
        </w:rPr>
      </w:pPr>
      <w:bookmarkStart w:id="0" w:name="_heading=h.4wzyfejvof8b" w:colFirst="0" w:colLast="0"/>
      <w:bookmarkEnd w:id="0"/>
      <w:r>
        <w:rPr>
          <w:rFonts w:ascii="Calibri" w:eastAsia="Calibri" w:hAnsi="Calibri" w:cs="Calibri"/>
          <w:b w:val="0"/>
          <w:sz w:val="22"/>
          <w:szCs w:val="22"/>
        </w:rPr>
        <w:t>ALLEGATO 6 – MODALITÀ DI RIDUZIONI ED ESCLUSIONI DAI CONTRIBUTI PER VIOLAZIONI DI IMPEGNI E ALTRI OBBLIGHI</w:t>
      </w:r>
    </w:p>
    <w:p w14:paraId="49FB4F02" w14:textId="77777777" w:rsidR="00494A88" w:rsidRDefault="00494A88">
      <w:pPr>
        <w:jc w:val="both"/>
        <w:rPr>
          <w:rFonts w:ascii="Calibri" w:eastAsia="Calibri" w:hAnsi="Calibri" w:cs="Calibri"/>
          <w:sz w:val="22"/>
          <w:szCs w:val="22"/>
        </w:rPr>
      </w:pPr>
    </w:p>
    <w:p w14:paraId="4912E9AD"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PREMESSA</w:t>
      </w:r>
    </w:p>
    <w:p w14:paraId="759B658A"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 xml:space="preserve">Il Decreto del Ministero dell’Agricoltura, della sovranità alimentare e delle foreste n. 93348 del 26 febbraio 2024 (di seguito D.M. 93348/2024), avente ad oggetto </w:t>
      </w:r>
      <w:r>
        <w:rPr>
          <w:rFonts w:ascii="Calibri" w:eastAsia="Calibri" w:hAnsi="Calibri" w:cs="Calibri"/>
          <w:i/>
          <w:sz w:val="22"/>
          <w:szCs w:val="22"/>
        </w:rPr>
        <w:t>“Disposizioni attuative e criteri per determinare le percentuali di riduzione applicabili per inadempienze degli obblighi della condizionalità “rafforzata” 2023-2027 e per violazione degli impegni dei regimi ecologici per il clima e l’ambiente e degli interventi di sviluppo rurale finanziati dal FEASR 2023-2027”</w:t>
      </w:r>
      <w:r>
        <w:rPr>
          <w:rFonts w:ascii="Calibri" w:eastAsia="Calibri" w:hAnsi="Calibri" w:cs="Calibri"/>
          <w:sz w:val="22"/>
          <w:szCs w:val="22"/>
        </w:rPr>
        <w:t>, dà attuazione al Decreto legislativo del 17 marzo 2023, n. 42 (di seguito D. lgs. n. 42/2023), individuando, tra l’altro, la metodologia di calcolo delle sanzioni amministrative, intese come riduzi</w:t>
      </w:r>
      <w:r>
        <w:rPr>
          <w:rFonts w:ascii="Calibri" w:eastAsia="Calibri" w:hAnsi="Calibri" w:cs="Calibri"/>
          <w:sz w:val="22"/>
          <w:szCs w:val="22"/>
        </w:rPr>
        <w:t>oni ed esclusioni dai pagamenti previsti dal Regolamento (UE) n. 2021/2115, concessi o da concedere al beneficiario interessato.</w:t>
      </w:r>
    </w:p>
    <w:p w14:paraId="65935B36"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Per quanto riguarda gli interventi non connessi alle superfici e agli animali il sopracitato D.M., all’articolo 15,</w:t>
      </w:r>
    </w:p>
    <w:p w14:paraId="611F1F06"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comma 8, demanda alle Autorità di gestione regionali/provinciali del Piano strategico della PAC 2023-2027 (di seguito PSP 2023-2027), sentiti i rispettivi Organismi Pagatori, l’emanazione di specifici provvedimenti relativi all’individuazione:</w:t>
      </w:r>
    </w:p>
    <w:p w14:paraId="01F6256A"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a) delle fattispecie di violazioni di impegni riferiti agli interventi/azioni;</w:t>
      </w:r>
    </w:p>
    <w:p w14:paraId="5B060D2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b) dei livelli della gravità, entità e durata di ciascuna violazione ai sensi dell’Allegato 5 del D.M. stesso;</w:t>
      </w:r>
    </w:p>
    <w:p w14:paraId="1232789F"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c) dei casi di violazione che pregiudicano il conseguimento dell’obiettivo dell’Intervento e che comportano l’esclusione o il recupero dal sostegno previsto dall’Intervento stesso;</w:t>
      </w:r>
    </w:p>
    <w:p w14:paraId="354A16C6"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d) dei casi di violazione di lieve entità per i quali, a fronte di adeguamento tramite azione correttiva, la sanzione non è applicata.</w:t>
      </w:r>
    </w:p>
    <w:p w14:paraId="76586771"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Pertanto, il presente documento:</w:t>
      </w:r>
    </w:p>
    <w:p w14:paraId="38855F2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disciplina a livello regionale l’applicazione di quanto previsto dall’articolo 15 del D.M. 93348/2024,</w:t>
      </w:r>
    </w:p>
    <w:p w14:paraId="6F9F18E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riassume i casi di inosservanze/inadempienze che determinano una riduzione o esclusione del contributo concesso o da concedere al beneficiario.</w:t>
      </w:r>
    </w:p>
    <w:p w14:paraId="458A49CD" w14:textId="77777777" w:rsidR="00494A88" w:rsidRDefault="00494A88">
      <w:pPr>
        <w:jc w:val="both"/>
        <w:rPr>
          <w:rFonts w:ascii="Calibri" w:eastAsia="Calibri" w:hAnsi="Calibri" w:cs="Calibri"/>
          <w:b/>
          <w:sz w:val="22"/>
          <w:szCs w:val="22"/>
        </w:rPr>
      </w:pPr>
    </w:p>
    <w:p w14:paraId="653E2433"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DEFINIZIONI</w:t>
      </w:r>
    </w:p>
    <w:p w14:paraId="1BFF937E"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INTERVENTO – strumento di sostegno del PSP 2023-2027.</w:t>
      </w:r>
    </w:p>
    <w:p w14:paraId="36CA0FE2"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IMPEGNO – è il vincolo che sottoscrive il beneficiario quando aderisce a un Intervento del PSP 2023 - 2027. Il</w:t>
      </w:r>
    </w:p>
    <w:p w14:paraId="00D0130B"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mancato rispetto di un impegno comporta la riduzione dell’importo dell’aiuto e può portare fino all’esclusione dal premio.</w:t>
      </w:r>
    </w:p>
    <w:p w14:paraId="49773A7A"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GRUPPO DI IMPEGNI – Insieme di 2 o più impegni affini caratterizzati da elementi comuni e omogenei (articolo 2 lettera aa) del D.M. 93348/2024).</w:t>
      </w:r>
    </w:p>
    <w:p w14:paraId="7E0B3DF9"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SANZIONE AMMINISTRATIVA – una riduzione dell’importo dell’aiuto richiesto con la domanda di sostegno/pagamento che può portare fino all’esclusione dall’importo stesso.</w:t>
      </w:r>
    </w:p>
    <w:p w14:paraId="10557518"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MONTANTE A CUI SI APPLICA LA SANZIONE – importo spettante al beneficiario a cui si applica la sanzione. Il montante può essere rappresentato dall’importo dell’intero Intervento o di una sola Azione, se prevista.</w:t>
      </w:r>
    </w:p>
    <w:p w14:paraId="3979C21B"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INOSSERVANZA – qualsiasi irregolarità o inadempienza per mancato rispetto degli impegni o degli obblighi previsti dall’Intervento (articolo 2, D.M. 93348/2024).</w:t>
      </w:r>
    </w:p>
    <w:p w14:paraId="0F185BFB"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RIDUZIONE DEL PREMIO PER MANCATO RISPETTO DEGLI IMPEGNI DI INTERVENTO – riduzione percentuale del premio calcolata in base a Gravità-Entità-Durata e Ripetizione (articolo 15, D. lgs. n. 42/2023).</w:t>
      </w:r>
    </w:p>
    <w:p w14:paraId="348D5B51"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GRAVITÀ DELL’INOSSERVANZA – rilevanza delle conseguenze dell’inosservanza alla luce degli obiettivi del requisito o della norma che non sono stati rispettati (articolo 2, D.M. 93348/2024).</w:t>
      </w:r>
    </w:p>
    <w:p w14:paraId="2DF4EF92"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PORTATA o ENTITÀ DELL’INOSSERVANZA DI UN IMPEGNO – impatto dell’inosservanza che può essere limitato all’azienda oppure più ampio (articolo 2, D.M. 93348/2024).</w:t>
      </w:r>
    </w:p>
    <w:p w14:paraId="28976FE9"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PERSISTENZA o DURATA DELL’INOSSERVANZA - parametro dipendente in particolare dal periodo di tempo nel corso del quale ne perdura l’effetto dell’inosservanza o dalla possibilità di eliminarne l’effetto con mezzi ragionevoli (articolo 2, D.M. 93348/2024).</w:t>
      </w:r>
    </w:p>
    <w:p w14:paraId="54ACF624"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RIDUZIONE DELL’IMPORTO TOTALE DELL’AIUTO – riduzione dell’importo dell’aiuto cui il beneficiario ha diritto che può portare fino all’esclusione dall’importo stesso.</w:t>
      </w:r>
    </w:p>
    <w:p w14:paraId="0A6B9B46"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SANZIONE - riduzione o esclusione dei pagamenti previsti dal Regolamento (UE) n. 2021/2115, concessi o da concedere al beneficiario interessato (articolo 2, D.M.93348/2024).</w:t>
      </w:r>
    </w:p>
    <w:p w14:paraId="5D3077E3"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RIPETIZIONE DI UN’INADEMPIENZA DI UN IMPEGNO - inosservanza accertata più di una volta di uno stesso impegno o gruppo di impegni dello sviluppo rurale nell'arco di un periodo di tre anni civili consecutivi, a condizione che il beneficiario sia stato informato di precedenti inosservanze e, se del caso, abbia avuto la possibilità di adottare le misure necessarie per porre rimedio a tale precedente inosservanza (articolo 2, D.M. 93348/2024).</w:t>
      </w:r>
    </w:p>
    <w:p w14:paraId="277426CB" w14:textId="77777777" w:rsidR="00494A88" w:rsidRDefault="006541D5">
      <w:pPr>
        <w:jc w:val="both"/>
        <w:rPr>
          <w:rFonts w:ascii="Calibri" w:eastAsia="Calibri" w:hAnsi="Calibri" w:cs="Calibri"/>
          <w:sz w:val="22"/>
          <w:szCs w:val="22"/>
        </w:rPr>
      </w:pPr>
      <w:r>
        <w:rPr>
          <w:rFonts w:ascii="Calibri" w:eastAsia="Calibri" w:hAnsi="Calibri" w:cs="Calibri"/>
          <w:sz w:val="22"/>
          <w:szCs w:val="22"/>
        </w:rPr>
        <w:lastRenderedPageBreak/>
        <w:t>REVOCA – recupero totale o parziale del sostegno erogato sia in forma di anticipo che di saldo o di pagamento annuale.</w:t>
      </w:r>
    </w:p>
    <w:p w14:paraId="2E00FFBB" w14:textId="77777777" w:rsidR="00494A88" w:rsidRDefault="00494A88">
      <w:pPr>
        <w:jc w:val="both"/>
        <w:rPr>
          <w:rFonts w:ascii="Calibri" w:eastAsia="Calibri" w:hAnsi="Calibri" w:cs="Calibri"/>
          <w:sz w:val="22"/>
          <w:szCs w:val="22"/>
        </w:rPr>
      </w:pPr>
    </w:p>
    <w:p w14:paraId="775F756F"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RIDUZIONI ED ESCLUSIONI DAL CONTRIBUTO IN CASO DI MANCATO RISPETTO DELLE CONDIZIONI DI AMMISSIBILITÀ</w:t>
      </w:r>
    </w:p>
    <w:p w14:paraId="24290EA0"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Ai sensi dell’art. 11 del decreto legislativo 17 marzo 2023 n. 42 e successive modifiche, il sostegno richiesto è rifiutato o recuperato integralmente se viene accertato in via definitiva il mancato rispetto dei criteri di ammissibilità. Le condizioni di ammissibilità vengono verificate al momento della presentazione della domanda di aiuto e di pagamento, nelle fasi istruttorie e di controllo.</w:t>
      </w:r>
    </w:p>
    <w:p w14:paraId="5622C7CC"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Le condizioni di ammissibilità per la presentazione delle domande di aiuto devono essere mantenute secondo quanto indicato al paragrafo 27 relativo agli “Impegni” delle presenti disposizioni attuative.</w:t>
      </w:r>
    </w:p>
    <w:p w14:paraId="0F57B561"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Qualora venga richiesto il cambio del beneficiario della domanda, il subentrante deve possedere i requisiti oggettivi e soggettivi necessari per l’accesso al contributo.</w:t>
      </w:r>
    </w:p>
    <w:p w14:paraId="32D5FCAB" w14:textId="77777777" w:rsidR="00494A88" w:rsidRDefault="00494A88">
      <w:pPr>
        <w:jc w:val="both"/>
        <w:rPr>
          <w:rFonts w:ascii="Calibri" w:eastAsia="Calibri" w:hAnsi="Calibri" w:cs="Calibri"/>
          <w:b/>
          <w:sz w:val="22"/>
          <w:szCs w:val="22"/>
        </w:rPr>
      </w:pPr>
    </w:p>
    <w:p w14:paraId="564AE8F6"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ULTERIORE CASISTICA DI RIDUZIONE DEL CONTRIBUTO</w:t>
      </w:r>
    </w:p>
    <w:p w14:paraId="12D81217"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Ai sensi dell’art. 15 del decreto legislativo 17 marzo 2023 n. 42 e successive modifiche e dell’art. 15, comma 6 del D.M. 93348/2024, ai beneficiari che richiedono nella domanda di pagamento un importo che risulta maggiore del 25 per cento rispetto a quello considerato ammissibile dall’Organismo Pagatore Regionale (OPR) si applica una sanzione pari alla differenza tra i due importi. La riduzione o l’esclusione si applica anche alle spese che sono risultate non ammissibili in seguito ai controlli in loco. Tu</w:t>
      </w:r>
      <w:r>
        <w:rPr>
          <w:rFonts w:ascii="Calibri" w:eastAsia="Calibri" w:hAnsi="Calibri" w:cs="Calibri"/>
          <w:sz w:val="22"/>
          <w:szCs w:val="22"/>
        </w:rPr>
        <w:t>ttavia, non si applicano sanzioni se il beneficiario può dimostrare in modo soddisfacente all’autorità competente di non essere responsabile dell’inclusione dell’importo non ammissibile o se l’autorità competente accerta altrimenti che l’interessato non è responsabile.</w:t>
      </w:r>
    </w:p>
    <w:p w14:paraId="063AC557"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Ai sensi dell’art. 15, comma 7, del D.M. 93348/2024, nel caso di contestuale accertamento di inadempienze e scostamenti di cui sopra (comma 6 del D.M. 93348/2024), si applica prima la riduzione sopra indicata e poi la riduzione relativa alle inadempienze sotto specificate.</w:t>
      </w:r>
    </w:p>
    <w:p w14:paraId="17B14AF0" w14:textId="77777777" w:rsidR="00494A88" w:rsidRDefault="00494A88">
      <w:pPr>
        <w:jc w:val="both"/>
        <w:rPr>
          <w:rFonts w:ascii="Calibri" w:eastAsia="Calibri" w:hAnsi="Calibri" w:cs="Calibri"/>
          <w:b/>
          <w:sz w:val="22"/>
          <w:szCs w:val="22"/>
        </w:rPr>
      </w:pPr>
    </w:p>
    <w:p w14:paraId="079492BC"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RIDUZIONI ED ESCLUSIONI DAL CONTRIBUTO IN CASO DI MANCATO RISPETTO DEGLI IMPEGNI SPECIFICI DELL’INTERVENTO</w:t>
      </w:r>
    </w:p>
    <w:p w14:paraId="69CDFCF4"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Il beneficiario al momento della presentazione della domanda di sostegno si assume gli impegni previsti dal bando e gli altri obblighi di intervento.</w:t>
      </w:r>
    </w:p>
    <w:p w14:paraId="1E6E017F"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In caso di violazione di impegni e obblighi viene applicata all’importo complessivo ammesso, erogato o da erogare una riduzione o l’esclusione, come di seguito specificato.</w:t>
      </w:r>
    </w:p>
    <w:p w14:paraId="7D3C2B57"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Le riduzioni o esclusioni dei pagamenti previsti dal regolamento (UE) 2021/2115, concessi o da concedere al beneficiario, vengono di seguito definite sanzioni.</w:t>
      </w:r>
    </w:p>
    <w:p w14:paraId="0857B061"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Le sanzioni non si applicano nei seguenti casi (art. 1 del decreto legislativo n. 42/2023):</w:t>
      </w:r>
    </w:p>
    <w:p w14:paraId="271631D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a) inosservanza dovuta a un errore dell’OPR o di altra autorità, ove l’errore non poteva essere ragionevolmente individuato dal beneficiario;</w:t>
      </w:r>
    </w:p>
    <w:p w14:paraId="1981B15C"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b) riduzione non superiore a 100 euro;</w:t>
      </w:r>
    </w:p>
    <w:p w14:paraId="1F7DE42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c) inosservanza delle condizioni di concessione dell’aiuto dovuta a cause di forza maggiore o a circostanze eccezionali di cui all’articolo 3 del regolamento (UE) 2021/2116.</w:t>
      </w:r>
    </w:p>
    <w:p w14:paraId="3BA560F7"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Per ciascuna infrazione relativa a impegni o a gruppi di impegni previsti dal bando, la percentuale della riduzione è determinata in base alla gravità, entità e durata, secondo le modalità definite nell’allegato 5 del D.M. 93348/2024</w:t>
      </w:r>
      <w:proofErr w:type="gramStart"/>
      <w:r>
        <w:rPr>
          <w:rFonts w:ascii="Calibri" w:eastAsia="Calibri" w:hAnsi="Calibri" w:cs="Calibri"/>
          <w:sz w:val="22"/>
          <w:szCs w:val="22"/>
        </w:rPr>
        <w:t>, ”</w:t>
      </w:r>
      <w:r>
        <w:rPr>
          <w:rFonts w:ascii="Calibri" w:eastAsia="Calibri" w:hAnsi="Calibri" w:cs="Calibri"/>
          <w:i/>
          <w:sz w:val="22"/>
          <w:szCs w:val="22"/>
        </w:rPr>
        <w:t>Riduzioni</w:t>
      </w:r>
      <w:proofErr w:type="gramEnd"/>
      <w:r>
        <w:rPr>
          <w:rFonts w:ascii="Calibri" w:eastAsia="Calibri" w:hAnsi="Calibri" w:cs="Calibri"/>
          <w:i/>
          <w:sz w:val="22"/>
          <w:szCs w:val="22"/>
        </w:rPr>
        <w:t xml:space="preserve"> per la violazione di impegni e altri obblighi (di seguito Impegni) per operazioni non connesse alle superfici e gli animali (articolo 15)</w:t>
      </w:r>
      <w:r>
        <w:rPr>
          <w:rFonts w:ascii="Calibri" w:eastAsia="Calibri" w:hAnsi="Calibri" w:cs="Calibri"/>
          <w:sz w:val="22"/>
          <w:szCs w:val="22"/>
        </w:rPr>
        <w:t>”.</w:t>
      </w:r>
    </w:p>
    <w:p w14:paraId="5285A631" w14:textId="77777777" w:rsidR="00494A88" w:rsidRDefault="00494A88">
      <w:pPr>
        <w:jc w:val="both"/>
        <w:rPr>
          <w:rFonts w:ascii="Calibri" w:eastAsia="Calibri" w:hAnsi="Calibri" w:cs="Calibri"/>
          <w:sz w:val="22"/>
          <w:szCs w:val="22"/>
        </w:rPr>
      </w:pPr>
    </w:p>
    <w:p w14:paraId="6C45840F"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DESCRIZIONE DELLA METODOLOGIA DI CALCOLO DELLE RIDUZIONI PER VIOLAZIONE DEGLI IMPEGNI DI INTERVENTO</w:t>
      </w:r>
    </w:p>
    <w:p w14:paraId="41E8209F"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L’inosservanza/irregolarità viene valutata rispetto ai seguenti criteri:</w:t>
      </w:r>
    </w:p>
    <w:p w14:paraId="01384045"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xml:space="preserve">• </w:t>
      </w:r>
      <w:r>
        <w:rPr>
          <w:rFonts w:ascii="Calibri" w:eastAsia="Calibri" w:hAnsi="Calibri" w:cs="Calibri"/>
          <w:b/>
          <w:sz w:val="22"/>
          <w:szCs w:val="22"/>
        </w:rPr>
        <w:t xml:space="preserve">Gravità </w:t>
      </w:r>
      <w:r>
        <w:rPr>
          <w:rFonts w:ascii="Calibri" w:eastAsia="Calibri" w:hAnsi="Calibri" w:cs="Calibri"/>
          <w:sz w:val="22"/>
          <w:szCs w:val="22"/>
        </w:rPr>
        <w:t>- parametro dipendente in particolare dalla rilevanza delle conseguenze dell’inosservanza medesima alla luce degli obiettivi perseguiti dall’impegno</w:t>
      </w:r>
    </w:p>
    <w:p w14:paraId="660635A3"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lastRenderedPageBreak/>
        <w:t xml:space="preserve">• </w:t>
      </w:r>
      <w:r>
        <w:rPr>
          <w:rFonts w:ascii="Calibri" w:eastAsia="Calibri" w:hAnsi="Calibri" w:cs="Calibri"/>
          <w:b/>
          <w:sz w:val="22"/>
          <w:szCs w:val="22"/>
        </w:rPr>
        <w:t xml:space="preserve">Entità </w:t>
      </w:r>
      <w:r>
        <w:rPr>
          <w:rFonts w:ascii="Calibri" w:eastAsia="Calibri" w:hAnsi="Calibri" w:cs="Calibri"/>
          <w:sz w:val="22"/>
          <w:szCs w:val="22"/>
        </w:rPr>
        <w:t>- parametro determinato tenendo conto in particolare dell’impatto dell’inosservanza stessa, che può essere limitato all’azienda oppure più ampio</w:t>
      </w:r>
    </w:p>
    <w:p w14:paraId="17448C41"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xml:space="preserve">• </w:t>
      </w:r>
      <w:r>
        <w:rPr>
          <w:rFonts w:ascii="Calibri" w:eastAsia="Calibri" w:hAnsi="Calibri" w:cs="Calibri"/>
          <w:b/>
          <w:sz w:val="22"/>
          <w:szCs w:val="22"/>
        </w:rPr>
        <w:t xml:space="preserve">Durata </w:t>
      </w:r>
      <w:r>
        <w:rPr>
          <w:rFonts w:ascii="Calibri" w:eastAsia="Calibri" w:hAnsi="Calibri" w:cs="Calibri"/>
          <w:sz w:val="22"/>
          <w:szCs w:val="22"/>
        </w:rPr>
        <w:t>- parametro dipendente in particolare dal lasso di tempo nel corso del quale ne perdura l’effetto.</w:t>
      </w:r>
    </w:p>
    <w:p w14:paraId="3BC556FB"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Alla gravità, entità e durata vengono assegnati i seguenti livelli di infrazione:</w:t>
      </w:r>
    </w:p>
    <w:p w14:paraId="1CA6ABF5"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Livello di infrazione Basso = 1</w:t>
      </w:r>
    </w:p>
    <w:p w14:paraId="411FA88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Livello di infrazione Medio = 3</w:t>
      </w:r>
    </w:p>
    <w:p w14:paraId="76900FD0" w14:textId="77777777" w:rsidR="00494A88" w:rsidRDefault="006541D5">
      <w:pPr>
        <w:ind w:left="709"/>
        <w:jc w:val="both"/>
        <w:rPr>
          <w:rFonts w:ascii="Calibri" w:eastAsia="Calibri" w:hAnsi="Calibri" w:cs="Calibri"/>
          <w:sz w:val="22"/>
          <w:szCs w:val="22"/>
        </w:rPr>
      </w:pPr>
      <w:r>
        <w:rPr>
          <w:rFonts w:ascii="Calibri" w:eastAsia="Calibri" w:hAnsi="Calibri" w:cs="Calibri"/>
          <w:sz w:val="22"/>
          <w:szCs w:val="22"/>
        </w:rPr>
        <w:t>• Livello di infrazione Alto = 5</w:t>
      </w:r>
    </w:p>
    <w:p w14:paraId="0FBB8C30" w14:textId="77777777" w:rsidR="00494A88" w:rsidRDefault="006541D5">
      <w:pPr>
        <w:jc w:val="both"/>
        <w:rPr>
          <w:rFonts w:ascii="Calibri" w:eastAsia="Calibri" w:hAnsi="Calibri" w:cs="Calibri"/>
          <w:b/>
          <w:sz w:val="22"/>
          <w:szCs w:val="22"/>
        </w:rPr>
      </w:pPr>
      <w:r>
        <w:rPr>
          <w:rFonts w:ascii="Calibri" w:eastAsia="Calibri" w:hAnsi="Calibri" w:cs="Calibri"/>
          <w:sz w:val="22"/>
          <w:szCs w:val="22"/>
        </w:rPr>
        <w:t xml:space="preserve">Ove nel corso del controllo venga riscontrata la violazione di un impegno, si quantificherà il livello (basso = 1; medio = 3; alto = 5) in termini di gravità, entità e durata. Una volta quantificati i tre indici per ogni impegno violato, si procederà al calcolo del valore medio fra gravità, entità e durata. Il valore ottenuto si arrotonda al secondo decimale per difetto (0,01-0,05) o per eccesso (&gt; 0,05). </w:t>
      </w:r>
      <w:r>
        <w:rPr>
          <w:rFonts w:ascii="Calibri" w:eastAsia="Calibri" w:hAnsi="Calibri" w:cs="Calibri"/>
          <w:b/>
          <w:sz w:val="22"/>
          <w:szCs w:val="22"/>
        </w:rPr>
        <w:t>Per l’intervento SRD02 gli impegni non sono stati raggruppati in “gruppi di impegni” per il calcolo delle riduzioni.</w:t>
      </w:r>
    </w:p>
    <w:p w14:paraId="28FDB706" w14:textId="77777777" w:rsidR="00494A88" w:rsidRDefault="006541D5">
      <w:pPr>
        <w:jc w:val="both"/>
        <w:rPr>
          <w:rFonts w:ascii="Calibri" w:eastAsia="Calibri" w:hAnsi="Calibri" w:cs="Calibri"/>
          <w:sz w:val="22"/>
          <w:szCs w:val="22"/>
        </w:rPr>
      </w:pPr>
      <w:r>
        <w:rPr>
          <w:rFonts w:ascii="Calibri" w:eastAsia="Calibri" w:hAnsi="Calibri" w:cs="Calibri"/>
          <w:color w:val="000000"/>
          <w:sz w:val="22"/>
          <w:szCs w:val="22"/>
        </w:rPr>
        <w:t xml:space="preserve">Una volta quantificati i tre indici per ogni impegno violato, si procede al calcolo del valore medio fra gravità, entità e durata. </w:t>
      </w:r>
      <w:r>
        <w:rPr>
          <w:rFonts w:ascii="Calibri" w:eastAsia="Calibri" w:hAnsi="Calibri" w:cs="Calibri"/>
          <w:strike/>
          <w:color w:val="FF0000"/>
          <w:sz w:val="22"/>
          <w:szCs w:val="22"/>
        </w:rPr>
        <w:t xml:space="preserve"> </w:t>
      </w:r>
      <w:r>
        <w:rPr>
          <w:rFonts w:ascii="Calibri" w:eastAsia="Calibri" w:hAnsi="Calibri" w:cs="Calibri"/>
          <w:sz w:val="22"/>
          <w:szCs w:val="22"/>
        </w:rPr>
        <w:t>Il valore ottenuto si arrotonda al secondo decimale per difetto (0,01-0,05) o per eccesso (&gt; 0,05).</w:t>
      </w:r>
    </w:p>
    <w:p w14:paraId="286333C1" w14:textId="77777777" w:rsidR="00494A88" w:rsidRDefault="006541D5">
      <w:pPr>
        <w:spacing w:after="120"/>
        <w:jc w:val="both"/>
        <w:rPr>
          <w:rFonts w:ascii="Calibri" w:eastAsia="Calibri" w:hAnsi="Calibri" w:cs="Calibri"/>
          <w:color w:val="000000"/>
          <w:sz w:val="22"/>
          <w:szCs w:val="22"/>
        </w:rPr>
      </w:pPr>
      <w:r>
        <w:rPr>
          <w:rFonts w:ascii="Calibri" w:eastAsia="Calibri" w:hAnsi="Calibri" w:cs="Calibri"/>
          <w:color w:val="000000"/>
          <w:sz w:val="22"/>
          <w:szCs w:val="22"/>
        </w:rPr>
        <w:t>Ad esempio, supponendo che sia riscontrata la violazione di un impegno e che l’impegno risulti violato come indicato nella seguente tabella:</w:t>
      </w:r>
    </w:p>
    <w:tbl>
      <w:tblPr>
        <w:tblStyle w:val="aff5"/>
        <w:tblW w:w="10456" w:type="dxa"/>
        <w:tblInd w:w="0" w:type="dxa"/>
        <w:tblLayout w:type="fixed"/>
        <w:tblLook w:val="0000" w:firstRow="0" w:lastRow="0" w:firstColumn="0" w:lastColumn="0" w:noHBand="0" w:noVBand="0"/>
      </w:tblPr>
      <w:tblGrid>
        <w:gridCol w:w="5382"/>
        <w:gridCol w:w="1692"/>
        <w:gridCol w:w="1692"/>
        <w:gridCol w:w="1690"/>
      </w:tblGrid>
      <w:tr w:rsidR="00494A88" w14:paraId="15F126D3" w14:textId="77777777">
        <w:tc>
          <w:tcPr>
            <w:tcW w:w="5382" w:type="dxa"/>
            <w:tcBorders>
              <w:top w:val="single" w:sz="4" w:space="0" w:color="00000A"/>
              <w:left w:val="single" w:sz="4" w:space="0" w:color="00000A"/>
              <w:bottom w:val="single" w:sz="4" w:space="0" w:color="00000A"/>
              <w:right w:val="single" w:sz="4" w:space="0" w:color="00000A"/>
            </w:tcBorders>
            <w:shd w:val="clear" w:color="auto" w:fill="B3E5A1"/>
            <w:tcMar>
              <w:top w:w="0" w:type="dxa"/>
              <w:left w:w="113" w:type="dxa"/>
              <w:bottom w:w="0" w:type="dxa"/>
              <w:right w:w="108" w:type="dxa"/>
            </w:tcMar>
          </w:tcPr>
          <w:p w14:paraId="00C52D09" w14:textId="77777777" w:rsidR="00494A88" w:rsidRDefault="006541D5">
            <w:pPr>
              <w:jc w:val="center"/>
              <w:rPr>
                <w:rFonts w:ascii="Calibri" w:eastAsia="Calibri" w:hAnsi="Calibri" w:cs="Calibri"/>
                <w:b/>
                <w:color w:val="000000"/>
              </w:rPr>
            </w:pPr>
            <w:r>
              <w:rPr>
                <w:rFonts w:ascii="Calibri" w:eastAsia="Calibri" w:hAnsi="Calibri" w:cs="Calibri"/>
                <w:b/>
                <w:color w:val="000000"/>
              </w:rPr>
              <w:t>Livello di infrazione dell’impegno</w:t>
            </w:r>
          </w:p>
        </w:tc>
        <w:tc>
          <w:tcPr>
            <w:tcW w:w="1692" w:type="dxa"/>
            <w:tcBorders>
              <w:top w:val="single" w:sz="4" w:space="0" w:color="00000A"/>
              <w:left w:val="single" w:sz="4" w:space="0" w:color="00000A"/>
              <w:bottom w:val="single" w:sz="4" w:space="0" w:color="00000A"/>
              <w:right w:val="single" w:sz="4" w:space="0" w:color="00000A"/>
            </w:tcBorders>
            <w:shd w:val="clear" w:color="auto" w:fill="B3E5A1"/>
            <w:tcMar>
              <w:top w:w="0" w:type="dxa"/>
              <w:left w:w="113" w:type="dxa"/>
              <w:bottom w:w="0" w:type="dxa"/>
              <w:right w:w="108" w:type="dxa"/>
            </w:tcMar>
          </w:tcPr>
          <w:p w14:paraId="275D7568" w14:textId="77777777" w:rsidR="00494A88" w:rsidRDefault="006541D5">
            <w:pPr>
              <w:jc w:val="center"/>
              <w:rPr>
                <w:rFonts w:ascii="Calibri" w:eastAsia="Calibri" w:hAnsi="Calibri" w:cs="Calibri"/>
                <w:b/>
                <w:color w:val="000000"/>
              </w:rPr>
            </w:pPr>
            <w:r>
              <w:rPr>
                <w:rFonts w:ascii="Calibri" w:eastAsia="Calibri" w:hAnsi="Calibri" w:cs="Calibri"/>
                <w:b/>
                <w:color w:val="000000"/>
              </w:rPr>
              <w:t>Gravità</w:t>
            </w:r>
          </w:p>
        </w:tc>
        <w:tc>
          <w:tcPr>
            <w:tcW w:w="1692" w:type="dxa"/>
            <w:tcBorders>
              <w:top w:val="single" w:sz="4" w:space="0" w:color="00000A"/>
              <w:left w:val="single" w:sz="4" w:space="0" w:color="00000A"/>
              <w:bottom w:val="single" w:sz="4" w:space="0" w:color="00000A"/>
              <w:right w:val="single" w:sz="4" w:space="0" w:color="00000A"/>
            </w:tcBorders>
            <w:shd w:val="clear" w:color="auto" w:fill="B3E5A1"/>
            <w:tcMar>
              <w:top w:w="0" w:type="dxa"/>
              <w:left w:w="113" w:type="dxa"/>
              <w:bottom w:w="0" w:type="dxa"/>
              <w:right w:w="108" w:type="dxa"/>
            </w:tcMar>
          </w:tcPr>
          <w:p w14:paraId="476DE708" w14:textId="77777777" w:rsidR="00494A88" w:rsidRDefault="006541D5">
            <w:pPr>
              <w:jc w:val="center"/>
              <w:rPr>
                <w:rFonts w:ascii="Calibri" w:eastAsia="Calibri" w:hAnsi="Calibri" w:cs="Calibri"/>
                <w:b/>
                <w:color w:val="000000"/>
              </w:rPr>
            </w:pPr>
            <w:r>
              <w:rPr>
                <w:rFonts w:ascii="Calibri" w:eastAsia="Calibri" w:hAnsi="Calibri" w:cs="Calibri"/>
                <w:b/>
                <w:color w:val="000000"/>
              </w:rPr>
              <w:t>Entità</w:t>
            </w:r>
          </w:p>
        </w:tc>
        <w:tc>
          <w:tcPr>
            <w:tcW w:w="1690" w:type="dxa"/>
            <w:tcBorders>
              <w:top w:val="single" w:sz="4" w:space="0" w:color="00000A"/>
              <w:left w:val="single" w:sz="4" w:space="0" w:color="00000A"/>
              <w:bottom w:val="single" w:sz="4" w:space="0" w:color="00000A"/>
              <w:right w:val="single" w:sz="4" w:space="0" w:color="00000A"/>
            </w:tcBorders>
            <w:shd w:val="clear" w:color="auto" w:fill="B3E5A1"/>
            <w:tcMar>
              <w:top w:w="0" w:type="dxa"/>
              <w:left w:w="113" w:type="dxa"/>
              <w:bottom w:w="0" w:type="dxa"/>
              <w:right w:w="108" w:type="dxa"/>
            </w:tcMar>
          </w:tcPr>
          <w:p w14:paraId="5E44F17D" w14:textId="77777777" w:rsidR="00494A88" w:rsidRDefault="006541D5">
            <w:pPr>
              <w:jc w:val="center"/>
              <w:rPr>
                <w:rFonts w:ascii="Calibri" w:eastAsia="Calibri" w:hAnsi="Calibri" w:cs="Calibri"/>
                <w:b/>
                <w:color w:val="000000"/>
              </w:rPr>
            </w:pPr>
            <w:r>
              <w:rPr>
                <w:rFonts w:ascii="Calibri" w:eastAsia="Calibri" w:hAnsi="Calibri" w:cs="Calibri"/>
                <w:b/>
                <w:color w:val="000000"/>
              </w:rPr>
              <w:t>Durata</w:t>
            </w:r>
          </w:p>
        </w:tc>
      </w:tr>
      <w:tr w:rsidR="00494A88" w14:paraId="0A9D9B8D" w14:textId="77777777">
        <w:tc>
          <w:tcPr>
            <w:tcW w:w="538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5F6B1B08" w14:textId="77777777" w:rsidR="00494A88" w:rsidRDefault="006541D5">
            <w:pPr>
              <w:jc w:val="center"/>
              <w:rPr>
                <w:rFonts w:ascii="Calibri" w:eastAsia="Calibri" w:hAnsi="Calibri" w:cs="Calibri"/>
                <w:color w:val="000000"/>
              </w:rPr>
            </w:pPr>
            <w:r>
              <w:rPr>
                <w:rFonts w:ascii="Calibri" w:eastAsia="Calibri" w:hAnsi="Calibri" w:cs="Calibri"/>
                <w:color w:val="000000"/>
              </w:rPr>
              <w:t>Basso (1)</w:t>
            </w:r>
          </w:p>
        </w:tc>
        <w:tc>
          <w:tcPr>
            <w:tcW w:w="169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2AF8EC75" w14:textId="77777777" w:rsidR="00494A88" w:rsidRDefault="00494A88">
            <w:pPr>
              <w:jc w:val="center"/>
              <w:rPr>
                <w:rFonts w:ascii="Calibri" w:eastAsia="Calibri" w:hAnsi="Calibri" w:cs="Calibri"/>
                <w:color w:val="000000"/>
              </w:rPr>
            </w:pPr>
          </w:p>
        </w:tc>
        <w:tc>
          <w:tcPr>
            <w:tcW w:w="169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2A940338" w14:textId="77777777" w:rsidR="00494A88" w:rsidRDefault="006541D5">
            <w:pPr>
              <w:jc w:val="center"/>
              <w:rPr>
                <w:rFonts w:ascii="Calibri" w:eastAsia="Calibri" w:hAnsi="Calibri" w:cs="Calibri"/>
                <w:color w:val="000000"/>
              </w:rPr>
            </w:pPr>
            <w:r>
              <w:rPr>
                <w:rFonts w:ascii="Calibri" w:eastAsia="Calibri" w:hAnsi="Calibri" w:cs="Calibri"/>
                <w:color w:val="000000"/>
              </w:rPr>
              <w:t>1</w:t>
            </w:r>
          </w:p>
        </w:tc>
        <w:tc>
          <w:tcPr>
            <w:tcW w:w="1690"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B4C5676" w14:textId="77777777" w:rsidR="00494A88" w:rsidRDefault="00494A88">
            <w:pPr>
              <w:jc w:val="center"/>
              <w:rPr>
                <w:rFonts w:ascii="Calibri" w:eastAsia="Calibri" w:hAnsi="Calibri" w:cs="Calibri"/>
                <w:color w:val="000000"/>
              </w:rPr>
            </w:pPr>
          </w:p>
        </w:tc>
      </w:tr>
      <w:tr w:rsidR="00494A88" w14:paraId="2D494C76" w14:textId="77777777">
        <w:tc>
          <w:tcPr>
            <w:tcW w:w="538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5B6529EB" w14:textId="77777777" w:rsidR="00494A88" w:rsidRDefault="006541D5">
            <w:pPr>
              <w:jc w:val="center"/>
              <w:rPr>
                <w:rFonts w:ascii="Calibri" w:eastAsia="Calibri" w:hAnsi="Calibri" w:cs="Calibri"/>
                <w:color w:val="000000"/>
              </w:rPr>
            </w:pPr>
            <w:r>
              <w:rPr>
                <w:rFonts w:ascii="Calibri" w:eastAsia="Calibri" w:hAnsi="Calibri" w:cs="Calibri"/>
                <w:color w:val="000000"/>
              </w:rPr>
              <w:t>Medio (3)</w:t>
            </w:r>
          </w:p>
        </w:tc>
        <w:tc>
          <w:tcPr>
            <w:tcW w:w="169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5305F0F7" w14:textId="77777777" w:rsidR="00494A88" w:rsidRDefault="006541D5">
            <w:pPr>
              <w:jc w:val="center"/>
              <w:rPr>
                <w:rFonts w:ascii="Calibri" w:eastAsia="Calibri" w:hAnsi="Calibri" w:cs="Calibri"/>
                <w:color w:val="000000"/>
              </w:rPr>
            </w:pPr>
            <w:r>
              <w:rPr>
                <w:rFonts w:ascii="Calibri" w:eastAsia="Calibri" w:hAnsi="Calibri" w:cs="Calibri"/>
                <w:color w:val="000000"/>
              </w:rPr>
              <w:t>3</w:t>
            </w:r>
          </w:p>
        </w:tc>
        <w:tc>
          <w:tcPr>
            <w:tcW w:w="169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25FA1058" w14:textId="77777777" w:rsidR="00494A88" w:rsidRDefault="00494A88">
            <w:pPr>
              <w:jc w:val="center"/>
              <w:rPr>
                <w:rFonts w:ascii="Calibri" w:eastAsia="Calibri" w:hAnsi="Calibri" w:cs="Calibri"/>
                <w:color w:val="000000"/>
              </w:rPr>
            </w:pPr>
          </w:p>
        </w:tc>
        <w:tc>
          <w:tcPr>
            <w:tcW w:w="1690"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551C6EE" w14:textId="77777777" w:rsidR="00494A88" w:rsidRDefault="006541D5">
            <w:pPr>
              <w:jc w:val="center"/>
              <w:rPr>
                <w:rFonts w:ascii="Calibri" w:eastAsia="Calibri" w:hAnsi="Calibri" w:cs="Calibri"/>
                <w:color w:val="000000"/>
              </w:rPr>
            </w:pPr>
            <w:r>
              <w:rPr>
                <w:rFonts w:ascii="Calibri" w:eastAsia="Calibri" w:hAnsi="Calibri" w:cs="Calibri"/>
                <w:color w:val="000000"/>
              </w:rPr>
              <w:t>3</w:t>
            </w:r>
          </w:p>
        </w:tc>
      </w:tr>
      <w:tr w:rsidR="00494A88" w14:paraId="25E7568A" w14:textId="77777777">
        <w:tc>
          <w:tcPr>
            <w:tcW w:w="538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700726F4" w14:textId="77777777" w:rsidR="00494A88" w:rsidRDefault="006541D5">
            <w:pPr>
              <w:jc w:val="center"/>
              <w:rPr>
                <w:rFonts w:ascii="Calibri" w:eastAsia="Calibri" w:hAnsi="Calibri" w:cs="Calibri"/>
                <w:color w:val="000000"/>
              </w:rPr>
            </w:pPr>
            <w:r>
              <w:rPr>
                <w:rFonts w:ascii="Calibri" w:eastAsia="Calibri" w:hAnsi="Calibri" w:cs="Calibri"/>
                <w:color w:val="000000"/>
              </w:rPr>
              <w:t>Alto (5)</w:t>
            </w:r>
          </w:p>
        </w:tc>
        <w:tc>
          <w:tcPr>
            <w:tcW w:w="169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5D6E418B" w14:textId="77777777" w:rsidR="00494A88" w:rsidRDefault="00494A88">
            <w:pPr>
              <w:jc w:val="center"/>
              <w:rPr>
                <w:rFonts w:ascii="Calibri" w:eastAsia="Calibri" w:hAnsi="Calibri" w:cs="Calibri"/>
                <w:color w:val="000000"/>
              </w:rPr>
            </w:pPr>
          </w:p>
        </w:tc>
        <w:tc>
          <w:tcPr>
            <w:tcW w:w="169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69D568B4" w14:textId="77777777" w:rsidR="00494A88" w:rsidRDefault="00494A88">
            <w:pPr>
              <w:jc w:val="center"/>
              <w:rPr>
                <w:rFonts w:ascii="Calibri" w:eastAsia="Calibri" w:hAnsi="Calibri" w:cs="Calibri"/>
                <w:color w:val="000000"/>
              </w:rPr>
            </w:pPr>
          </w:p>
        </w:tc>
        <w:tc>
          <w:tcPr>
            <w:tcW w:w="1690"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B1EC138" w14:textId="77777777" w:rsidR="00494A88" w:rsidRDefault="00494A88">
            <w:pPr>
              <w:jc w:val="center"/>
              <w:rPr>
                <w:rFonts w:ascii="Calibri" w:eastAsia="Calibri" w:hAnsi="Calibri" w:cs="Calibri"/>
                <w:color w:val="000000"/>
              </w:rPr>
            </w:pPr>
          </w:p>
        </w:tc>
      </w:tr>
    </w:tbl>
    <w:p w14:paraId="36EFB3C4" w14:textId="77777777" w:rsidR="00494A88" w:rsidRDefault="006541D5">
      <w:pPr>
        <w:spacing w:before="120" w:after="120"/>
        <w:rPr>
          <w:rFonts w:ascii="Calibri" w:eastAsia="Calibri" w:hAnsi="Calibri" w:cs="Calibri"/>
          <w:color w:val="000000"/>
          <w:sz w:val="22"/>
          <w:szCs w:val="22"/>
        </w:rPr>
      </w:pPr>
      <w:r>
        <w:rPr>
          <w:rFonts w:ascii="Calibri" w:eastAsia="Calibri" w:hAnsi="Calibri" w:cs="Calibri"/>
          <w:color w:val="000000"/>
          <w:sz w:val="22"/>
          <w:szCs w:val="22"/>
        </w:rPr>
        <w:t xml:space="preserve">si procede alla somma dei tre valori (3+1+3) = 7 e si calcola la media aritmetica che risulta pari a 2,3 (2,33 arrotondato a 2,3). Questa modalità di calcolo viene ripetuta per ogni impegno violato. </w:t>
      </w:r>
    </w:p>
    <w:p w14:paraId="24D0328F" w14:textId="77777777" w:rsidR="00494A88" w:rsidRDefault="006541D5">
      <w:pPr>
        <w:spacing w:after="120"/>
        <w:jc w:val="both"/>
        <w:rPr>
          <w:rFonts w:ascii="Calibri" w:eastAsia="Calibri" w:hAnsi="Calibri" w:cs="Calibri"/>
          <w:color w:val="000000"/>
          <w:sz w:val="22"/>
          <w:szCs w:val="22"/>
        </w:rPr>
      </w:pPr>
      <w:r>
        <w:rPr>
          <w:rFonts w:ascii="Calibri" w:eastAsia="Calibri" w:hAnsi="Calibri" w:cs="Calibri"/>
          <w:color w:val="000000"/>
          <w:sz w:val="22"/>
          <w:szCs w:val="22"/>
        </w:rPr>
        <w:t>Il punteggio ottenuto per ogni impegno violato viene confrontato con i punteggi della seguente tabella al fine di identificare la percentuale di riduzione corrispondente:</w:t>
      </w:r>
    </w:p>
    <w:tbl>
      <w:tblPr>
        <w:tblStyle w:val="aff6"/>
        <w:tblW w:w="10456" w:type="dxa"/>
        <w:jc w:val="center"/>
        <w:tblInd w:w="0" w:type="dxa"/>
        <w:tblLayout w:type="fixed"/>
        <w:tblLook w:val="0400" w:firstRow="0" w:lastRow="0" w:firstColumn="0" w:lastColumn="0" w:noHBand="0" w:noVBand="1"/>
      </w:tblPr>
      <w:tblGrid>
        <w:gridCol w:w="4458"/>
        <w:gridCol w:w="5998"/>
      </w:tblGrid>
      <w:tr w:rsidR="00494A88" w14:paraId="3BAFAF51" w14:textId="77777777">
        <w:trPr>
          <w:jc w:val="center"/>
        </w:trPr>
        <w:tc>
          <w:tcPr>
            <w:tcW w:w="4458" w:type="dxa"/>
            <w:tcBorders>
              <w:top w:val="single" w:sz="4" w:space="0" w:color="000000"/>
              <w:left w:val="single" w:sz="4" w:space="0" w:color="000000"/>
              <w:bottom w:val="single" w:sz="4" w:space="0" w:color="000000"/>
              <w:right w:val="nil"/>
            </w:tcBorders>
            <w:shd w:val="clear" w:color="auto" w:fill="B3E5A1"/>
            <w:vAlign w:val="center"/>
          </w:tcPr>
          <w:p w14:paraId="62304EF2" w14:textId="77777777" w:rsidR="00494A88" w:rsidRDefault="006541D5">
            <w:pPr>
              <w:jc w:val="center"/>
              <w:rPr>
                <w:rFonts w:ascii="Calibri" w:eastAsia="Calibri" w:hAnsi="Calibri" w:cs="Calibri"/>
                <w:b/>
              </w:rPr>
            </w:pPr>
            <w:r>
              <w:rPr>
                <w:rFonts w:ascii="Calibri" w:eastAsia="Calibri" w:hAnsi="Calibri" w:cs="Calibri"/>
                <w:b/>
              </w:rPr>
              <w:t>Punteggio</w:t>
            </w:r>
          </w:p>
        </w:tc>
        <w:tc>
          <w:tcPr>
            <w:tcW w:w="5998" w:type="dxa"/>
            <w:tcBorders>
              <w:top w:val="single" w:sz="4" w:space="0" w:color="000000"/>
              <w:left w:val="single" w:sz="4" w:space="0" w:color="000000"/>
              <w:bottom w:val="single" w:sz="4" w:space="0" w:color="000000"/>
              <w:right w:val="single" w:sz="4" w:space="0" w:color="000000"/>
            </w:tcBorders>
            <w:shd w:val="clear" w:color="auto" w:fill="B3E5A1"/>
            <w:vAlign w:val="center"/>
          </w:tcPr>
          <w:p w14:paraId="72518030" w14:textId="77777777" w:rsidR="00494A88" w:rsidRDefault="006541D5">
            <w:pPr>
              <w:jc w:val="center"/>
              <w:rPr>
                <w:rFonts w:ascii="Calibri" w:eastAsia="Calibri" w:hAnsi="Calibri" w:cs="Calibri"/>
                <w:b/>
              </w:rPr>
            </w:pPr>
            <w:r>
              <w:rPr>
                <w:rFonts w:ascii="Calibri" w:eastAsia="Calibri" w:hAnsi="Calibri" w:cs="Calibri"/>
                <w:b/>
              </w:rPr>
              <w:t>Percentuale di riduzione individuata da Regione Lombardia</w:t>
            </w:r>
          </w:p>
        </w:tc>
      </w:tr>
      <w:tr w:rsidR="00494A88" w14:paraId="77521D84" w14:textId="77777777">
        <w:trPr>
          <w:jc w:val="center"/>
        </w:trPr>
        <w:tc>
          <w:tcPr>
            <w:tcW w:w="4458" w:type="dxa"/>
            <w:tcBorders>
              <w:top w:val="single" w:sz="4" w:space="0" w:color="000000"/>
              <w:left w:val="single" w:sz="4" w:space="0" w:color="000000"/>
              <w:bottom w:val="single" w:sz="4" w:space="0" w:color="000000"/>
              <w:right w:val="nil"/>
            </w:tcBorders>
            <w:vAlign w:val="center"/>
          </w:tcPr>
          <w:p w14:paraId="5DE59642" w14:textId="77777777" w:rsidR="00494A88" w:rsidRDefault="006541D5">
            <w:pPr>
              <w:jc w:val="center"/>
              <w:rPr>
                <w:rFonts w:ascii="Calibri" w:eastAsia="Calibri" w:hAnsi="Calibri" w:cs="Calibri"/>
              </w:rPr>
            </w:pPr>
            <w:r>
              <w:rPr>
                <w:rFonts w:ascii="Calibri" w:eastAsia="Calibri" w:hAnsi="Calibri" w:cs="Calibri"/>
              </w:rPr>
              <w:t>inferiore a 3</w:t>
            </w:r>
          </w:p>
        </w:tc>
        <w:tc>
          <w:tcPr>
            <w:tcW w:w="5998" w:type="dxa"/>
            <w:tcBorders>
              <w:top w:val="single" w:sz="4" w:space="0" w:color="000000"/>
              <w:left w:val="single" w:sz="4" w:space="0" w:color="000000"/>
              <w:bottom w:val="single" w:sz="4" w:space="0" w:color="000000"/>
              <w:right w:val="single" w:sz="4" w:space="0" w:color="000000"/>
            </w:tcBorders>
            <w:vAlign w:val="center"/>
          </w:tcPr>
          <w:p w14:paraId="4BC24807" w14:textId="77777777" w:rsidR="00494A88" w:rsidRDefault="006541D5">
            <w:pPr>
              <w:jc w:val="center"/>
              <w:rPr>
                <w:rFonts w:ascii="Calibri" w:eastAsia="Calibri" w:hAnsi="Calibri" w:cs="Calibri"/>
              </w:rPr>
            </w:pPr>
            <w:r>
              <w:rPr>
                <w:rFonts w:ascii="Calibri" w:eastAsia="Calibri" w:hAnsi="Calibri" w:cs="Calibri"/>
              </w:rPr>
              <w:t>3%</w:t>
            </w:r>
          </w:p>
        </w:tc>
      </w:tr>
      <w:tr w:rsidR="00494A88" w14:paraId="53015C79" w14:textId="77777777">
        <w:trPr>
          <w:jc w:val="center"/>
        </w:trPr>
        <w:tc>
          <w:tcPr>
            <w:tcW w:w="4458" w:type="dxa"/>
            <w:tcBorders>
              <w:top w:val="single" w:sz="4" w:space="0" w:color="000000"/>
              <w:left w:val="single" w:sz="4" w:space="0" w:color="000000"/>
              <w:bottom w:val="single" w:sz="4" w:space="0" w:color="000000"/>
              <w:right w:val="nil"/>
            </w:tcBorders>
            <w:vAlign w:val="center"/>
          </w:tcPr>
          <w:p w14:paraId="24433D27" w14:textId="77777777" w:rsidR="00494A88" w:rsidRDefault="006541D5">
            <w:pPr>
              <w:jc w:val="center"/>
              <w:rPr>
                <w:rFonts w:ascii="Calibri" w:eastAsia="Calibri" w:hAnsi="Calibri" w:cs="Calibri"/>
              </w:rPr>
            </w:pPr>
            <w:r>
              <w:rPr>
                <w:rFonts w:ascii="Calibri" w:eastAsia="Calibri" w:hAnsi="Calibri" w:cs="Calibri"/>
              </w:rPr>
              <w:t>tra 3 (compreso) e inferiore a 4</w:t>
            </w:r>
          </w:p>
        </w:tc>
        <w:tc>
          <w:tcPr>
            <w:tcW w:w="5998" w:type="dxa"/>
            <w:tcBorders>
              <w:top w:val="single" w:sz="4" w:space="0" w:color="000000"/>
              <w:left w:val="single" w:sz="4" w:space="0" w:color="000000"/>
              <w:bottom w:val="single" w:sz="4" w:space="0" w:color="000000"/>
              <w:right w:val="single" w:sz="4" w:space="0" w:color="000000"/>
            </w:tcBorders>
            <w:vAlign w:val="center"/>
          </w:tcPr>
          <w:p w14:paraId="428DBFBC" w14:textId="77777777" w:rsidR="00494A88" w:rsidRDefault="006541D5">
            <w:pPr>
              <w:jc w:val="center"/>
              <w:rPr>
                <w:rFonts w:ascii="Calibri" w:eastAsia="Calibri" w:hAnsi="Calibri" w:cs="Calibri"/>
              </w:rPr>
            </w:pPr>
            <w:r>
              <w:rPr>
                <w:rFonts w:ascii="Calibri" w:eastAsia="Calibri" w:hAnsi="Calibri" w:cs="Calibri"/>
              </w:rPr>
              <w:t>5%</w:t>
            </w:r>
          </w:p>
        </w:tc>
      </w:tr>
      <w:tr w:rsidR="00494A88" w14:paraId="2DCFAF05" w14:textId="77777777">
        <w:trPr>
          <w:jc w:val="center"/>
        </w:trPr>
        <w:tc>
          <w:tcPr>
            <w:tcW w:w="4458" w:type="dxa"/>
            <w:tcBorders>
              <w:top w:val="single" w:sz="4" w:space="0" w:color="000000"/>
              <w:left w:val="single" w:sz="4" w:space="0" w:color="000000"/>
              <w:bottom w:val="single" w:sz="4" w:space="0" w:color="000000"/>
              <w:right w:val="nil"/>
            </w:tcBorders>
            <w:vAlign w:val="center"/>
          </w:tcPr>
          <w:p w14:paraId="76456B3D" w14:textId="77777777" w:rsidR="00494A88" w:rsidRDefault="006541D5">
            <w:pPr>
              <w:jc w:val="center"/>
              <w:rPr>
                <w:rFonts w:ascii="Calibri" w:eastAsia="Calibri" w:hAnsi="Calibri" w:cs="Calibri"/>
              </w:rPr>
            </w:pPr>
            <w:r>
              <w:rPr>
                <w:rFonts w:ascii="Calibri" w:eastAsia="Calibri" w:hAnsi="Calibri" w:cs="Calibri"/>
              </w:rPr>
              <w:t>uguale o superiore a 4</w:t>
            </w:r>
          </w:p>
        </w:tc>
        <w:tc>
          <w:tcPr>
            <w:tcW w:w="5998" w:type="dxa"/>
            <w:tcBorders>
              <w:top w:val="single" w:sz="4" w:space="0" w:color="000000"/>
              <w:left w:val="single" w:sz="4" w:space="0" w:color="000000"/>
              <w:bottom w:val="single" w:sz="4" w:space="0" w:color="000000"/>
              <w:right w:val="single" w:sz="4" w:space="0" w:color="000000"/>
            </w:tcBorders>
            <w:vAlign w:val="center"/>
          </w:tcPr>
          <w:p w14:paraId="603008D5" w14:textId="77777777" w:rsidR="00494A88" w:rsidRDefault="006541D5">
            <w:pPr>
              <w:jc w:val="center"/>
              <w:rPr>
                <w:rFonts w:ascii="Calibri" w:eastAsia="Calibri" w:hAnsi="Calibri" w:cs="Calibri"/>
              </w:rPr>
            </w:pPr>
            <w:r>
              <w:rPr>
                <w:rFonts w:ascii="Calibri" w:eastAsia="Calibri" w:hAnsi="Calibri" w:cs="Calibri"/>
              </w:rPr>
              <w:t>7%</w:t>
            </w:r>
          </w:p>
        </w:tc>
      </w:tr>
    </w:tbl>
    <w:p w14:paraId="137A0BEA" w14:textId="77777777" w:rsidR="00494A88" w:rsidRDefault="006541D5">
      <w:pPr>
        <w:spacing w:before="120" w:after="120"/>
        <w:jc w:val="both"/>
        <w:rPr>
          <w:rFonts w:ascii="Calibri" w:eastAsia="Calibri" w:hAnsi="Calibri" w:cs="Calibri"/>
          <w:color w:val="000000"/>
          <w:sz w:val="22"/>
          <w:szCs w:val="22"/>
        </w:rPr>
      </w:pPr>
      <w:r>
        <w:rPr>
          <w:rFonts w:ascii="Calibri" w:eastAsia="Calibri" w:hAnsi="Calibri" w:cs="Calibri"/>
          <w:color w:val="000000"/>
          <w:sz w:val="22"/>
          <w:szCs w:val="22"/>
        </w:rPr>
        <w:t>Nell’esempio sopra riportato, la riduzione ammonterebbe al 3% (2,3 rientra nella casistica “inferiore a 1-3”) dell’importo totale dell’intervento a cui si riferisce l’impegno violato.</w:t>
      </w:r>
      <w:r>
        <w:rPr>
          <w:rFonts w:ascii="Calibri" w:eastAsia="Calibri" w:hAnsi="Calibri" w:cs="Calibri"/>
          <w:sz w:val="22"/>
          <w:szCs w:val="22"/>
        </w:rPr>
        <w:t xml:space="preserve"> </w:t>
      </w:r>
      <w:r>
        <w:rPr>
          <w:rFonts w:ascii="Calibri" w:eastAsia="Calibri" w:hAnsi="Calibri" w:cs="Calibri"/>
          <w:color w:val="000000"/>
          <w:sz w:val="22"/>
          <w:szCs w:val="22"/>
        </w:rPr>
        <w:t>Per ciascun impegno violato si calcola la percentuale di riduzione o di esclusione. Poi si esegue la sommatoria delle riduzioni od esclusioni degli impegni afferenti all’intervento, previa applicazione della regola del cumulo delle riduzioni e si giunge a determinare la percentuale di riduzione od esclusione da operare a carico dei montanti riferiti all’intervento.</w:t>
      </w:r>
    </w:p>
    <w:p w14:paraId="4C27D338" w14:textId="77777777" w:rsidR="00494A88" w:rsidRDefault="00494A88">
      <w:pPr>
        <w:jc w:val="both"/>
        <w:rPr>
          <w:rFonts w:ascii="Calibri" w:eastAsia="Calibri" w:hAnsi="Calibri" w:cs="Calibri"/>
          <w:color w:val="FF0000"/>
          <w:sz w:val="22"/>
          <w:szCs w:val="22"/>
        </w:rPr>
      </w:pPr>
    </w:p>
    <w:p w14:paraId="2EDEE290" w14:textId="77777777" w:rsidR="00494A88" w:rsidRDefault="006541D5">
      <w:pPr>
        <w:jc w:val="both"/>
        <w:rPr>
          <w:rFonts w:ascii="Calibri" w:eastAsia="Calibri" w:hAnsi="Calibri" w:cs="Calibri"/>
          <w:b/>
          <w:sz w:val="22"/>
          <w:szCs w:val="22"/>
        </w:rPr>
      </w:pPr>
      <w:r>
        <w:rPr>
          <w:rFonts w:ascii="Calibri" w:eastAsia="Calibri" w:hAnsi="Calibri" w:cs="Calibri"/>
          <w:b/>
          <w:sz w:val="22"/>
          <w:szCs w:val="22"/>
        </w:rPr>
        <w:t>RIPETIZIONE DELL’INADEMPIENZA E INADEMPIENZE GRAVI</w:t>
      </w:r>
    </w:p>
    <w:p w14:paraId="37A67246"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In caso di reiterazione dell’inosservanza/irregolarità è applicata una maggiorazione della riduzione dell’importo, riferita all’impegno violato, rispetto alle percentuali di riduzione definite per gravità-entità e durata, pari al doppio di quanto previsto. Una inosservanza/irregolarità si definisce grave quando è ripetuta ed i parametri di gravità, entità e durata sono tutti cumulativamente di livello massimo. In caso di violazione grave, il sostegno è rifiutato o recuperato integralmente. Il beneficiario è</w:t>
      </w:r>
      <w:r>
        <w:rPr>
          <w:rFonts w:ascii="Calibri" w:eastAsia="Calibri" w:hAnsi="Calibri" w:cs="Calibri"/>
          <w:sz w:val="22"/>
          <w:szCs w:val="22"/>
        </w:rPr>
        <w:t xml:space="preserve"> altresì escluso dalla stessa misura o tipologia di operazione per l’anno civile dell’accertamento e per l’anno civile successivo (art. 15, comma 10, D.M. 93348/2024).</w:t>
      </w:r>
    </w:p>
    <w:p w14:paraId="077AB79B" w14:textId="77777777" w:rsidR="00494A88" w:rsidRDefault="006541D5">
      <w:pPr>
        <w:jc w:val="both"/>
        <w:rPr>
          <w:rFonts w:ascii="Calibri" w:eastAsia="Calibri" w:hAnsi="Calibri" w:cs="Calibri"/>
          <w:sz w:val="22"/>
          <w:szCs w:val="22"/>
        </w:rPr>
      </w:pPr>
      <w:r>
        <w:rPr>
          <w:rFonts w:ascii="Calibri" w:eastAsia="Calibri" w:hAnsi="Calibri" w:cs="Calibri"/>
          <w:sz w:val="22"/>
          <w:szCs w:val="22"/>
        </w:rPr>
        <w:t>Inoltre, qualora si accerti che il beneficiario abbia presentato prove false per ricevere il sostegno oppure non abbia fornito all’Autorità di Controllo per negligenza le necessarie informazioni, si applicano le medesime conseguenze previste per un’inosservanza grave. (art. 15, comma 10, D.M. 93348/2024).</w:t>
      </w:r>
    </w:p>
    <w:p w14:paraId="09E2766D" w14:textId="77777777" w:rsidR="00494A88" w:rsidRDefault="006541D5">
      <w:pPr>
        <w:spacing w:before="120"/>
        <w:jc w:val="both"/>
        <w:rPr>
          <w:rFonts w:ascii="Calibri" w:eastAsia="Calibri" w:hAnsi="Calibri" w:cs="Calibri"/>
          <w:sz w:val="22"/>
          <w:szCs w:val="22"/>
        </w:rPr>
      </w:pPr>
      <w:r>
        <w:rPr>
          <w:rFonts w:ascii="Calibri" w:eastAsia="Calibri" w:hAnsi="Calibri" w:cs="Calibri"/>
          <w:sz w:val="22"/>
          <w:szCs w:val="22"/>
        </w:rPr>
        <w:t>Nella tabella sotto riportata sono riportati gli impegni che determinano decadenza parziale per l’intervento SRD02.</w:t>
      </w:r>
    </w:p>
    <w:p w14:paraId="4FE5E127" w14:textId="0FF4E9ED" w:rsidR="00494A88" w:rsidRPr="006541D5" w:rsidRDefault="006541D5" w:rsidP="00CE61AC">
      <w:pPr>
        <w:rPr>
          <w:rFonts w:ascii="Calibri" w:eastAsia="Calibri" w:hAnsi="Calibri" w:cs="Calibri"/>
          <w:sz w:val="22"/>
          <w:szCs w:val="22"/>
        </w:rPr>
      </w:pPr>
      <w:r>
        <w:rPr>
          <w:rFonts w:ascii="Calibri" w:eastAsia="Calibri" w:hAnsi="Calibri" w:cs="Calibri"/>
          <w:sz w:val="22"/>
          <w:szCs w:val="22"/>
        </w:rPr>
        <w:lastRenderedPageBreak/>
        <w:t xml:space="preserve">In caso di mancato rispetto dell’impegno descritto, è stato individuato il livello di inadempienza (basso, medio, alto) </w:t>
      </w:r>
      <w:r w:rsidRPr="006541D5">
        <w:rPr>
          <w:rFonts w:ascii="Calibri" w:eastAsia="Calibri" w:hAnsi="Calibri" w:cs="Calibri"/>
          <w:sz w:val="22"/>
          <w:szCs w:val="22"/>
        </w:rPr>
        <w:t xml:space="preserve">riferito ai </w:t>
      </w:r>
      <w:r w:rsidR="00CE61AC" w:rsidRPr="006541D5">
        <w:rPr>
          <w:rFonts w:ascii="Calibri" w:eastAsia="Calibri" w:hAnsi="Calibri" w:cs="Calibri"/>
          <w:sz w:val="22"/>
          <w:szCs w:val="22"/>
        </w:rPr>
        <w:t xml:space="preserve">parametri di entità, gravità e durata e il relativo montante a cui si applica la sanzione amministrativa. </w:t>
      </w:r>
    </w:p>
    <w:p w14:paraId="23799ECF" w14:textId="41BEF0CE" w:rsidR="00CE61AC" w:rsidRPr="006541D5" w:rsidRDefault="006541D5" w:rsidP="00CE61AC">
      <w:pPr>
        <w:rPr>
          <w:rFonts w:ascii="Calibri" w:eastAsia="Calibri" w:hAnsi="Calibri" w:cs="Calibri"/>
        </w:rPr>
      </w:pPr>
      <w:r w:rsidRPr="006541D5">
        <w:rPr>
          <w:rFonts w:eastAsia="Calibri"/>
        </w:rPr>
        <w:drawing>
          <wp:anchor distT="0" distB="0" distL="114300" distR="114300" simplePos="0" relativeHeight="251658240" behindDoc="0" locked="0" layoutInCell="1" allowOverlap="1" wp14:anchorId="0AE4F181" wp14:editId="61B583BD">
            <wp:simplePos x="0" y="0"/>
            <wp:positionH relativeFrom="column">
              <wp:posOffset>-274320</wp:posOffset>
            </wp:positionH>
            <wp:positionV relativeFrom="paragraph">
              <wp:posOffset>88900</wp:posOffset>
            </wp:positionV>
            <wp:extent cx="7185660" cy="8503285"/>
            <wp:effectExtent l="0" t="0" r="0" b="0"/>
            <wp:wrapNone/>
            <wp:docPr id="27822327"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85660" cy="8503285"/>
                    </a:xfrm>
                    <a:prstGeom prst="rect">
                      <a:avLst/>
                    </a:prstGeom>
                    <a:noFill/>
                    <a:ln>
                      <a:noFill/>
                    </a:ln>
                  </pic:spPr>
                </pic:pic>
              </a:graphicData>
            </a:graphic>
            <wp14:sizeRelH relativeFrom="margin">
              <wp14:pctWidth>0</wp14:pctWidth>
            </wp14:sizeRelH>
          </wp:anchor>
        </w:drawing>
      </w:r>
    </w:p>
    <w:p w14:paraId="7F41D015" w14:textId="1C98DB95" w:rsidR="00CE61AC" w:rsidRDefault="00CE61AC" w:rsidP="00CE61AC">
      <w:pPr>
        <w:rPr>
          <w:rFonts w:ascii="Calibri" w:eastAsia="Calibri" w:hAnsi="Calibri" w:cs="Calibri"/>
          <w:sz w:val="22"/>
          <w:szCs w:val="22"/>
        </w:rPr>
      </w:pPr>
    </w:p>
    <w:p w14:paraId="531DA5D1" w14:textId="77777777" w:rsidR="00CE61AC" w:rsidRDefault="00CE61AC" w:rsidP="00CE61AC">
      <w:pPr>
        <w:rPr>
          <w:rFonts w:ascii="Calibri" w:eastAsia="Calibri" w:hAnsi="Calibri" w:cs="Calibri"/>
          <w:sz w:val="22"/>
          <w:szCs w:val="22"/>
        </w:rPr>
      </w:pPr>
    </w:p>
    <w:p w14:paraId="79468135" w14:textId="77777777" w:rsidR="00494A88" w:rsidRDefault="00494A88">
      <w:pPr>
        <w:ind w:right="4"/>
        <w:jc w:val="center"/>
        <w:rPr>
          <w:rFonts w:ascii="Calibri" w:eastAsia="Calibri" w:hAnsi="Calibri" w:cs="Calibri"/>
          <w:b/>
          <w:sz w:val="22"/>
          <w:szCs w:val="22"/>
        </w:rPr>
      </w:pPr>
    </w:p>
    <w:p w14:paraId="20D7C47E" w14:textId="77777777" w:rsidR="00494A88" w:rsidRDefault="00494A88">
      <w:pPr>
        <w:ind w:right="4"/>
        <w:jc w:val="center"/>
        <w:rPr>
          <w:rFonts w:ascii="Calibri" w:eastAsia="Calibri" w:hAnsi="Calibri" w:cs="Calibri"/>
          <w:b/>
          <w:sz w:val="22"/>
          <w:szCs w:val="22"/>
        </w:rPr>
      </w:pPr>
    </w:p>
    <w:p w14:paraId="1099E187" w14:textId="77777777" w:rsidR="00494A88" w:rsidRDefault="00494A88">
      <w:pPr>
        <w:ind w:right="4"/>
        <w:jc w:val="center"/>
        <w:rPr>
          <w:rFonts w:ascii="Calibri" w:eastAsia="Calibri" w:hAnsi="Calibri" w:cs="Calibri"/>
          <w:b/>
          <w:sz w:val="22"/>
          <w:szCs w:val="22"/>
        </w:rPr>
      </w:pPr>
    </w:p>
    <w:p w14:paraId="7A6DC404" w14:textId="77777777" w:rsidR="00494A88" w:rsidRDefault="00494A88">
      <w:pPr>
        <w:ind w:right="4"/>
        <w:jc w:val="center"/>
        <w:rPr>
          <w:rFonts w:ascii="Calibri" w:eastAsia="Calibri" w:hAnsi="Calibri" w:cs="Calibri"/>
          <w:b/>
          <w:sz w:val="22"/>
          <w:szCs w:val="22"/>
        </w:rPr>
      </w:pPr>
    </w:p>
    <w:p w14:paraId="6005D4B2" w14:textId="77777777" w:rsidR="00494A88" w:rsidRDefault="00494A88">
      <w:pPr>
        <w:ind w:right="4"/>
        <w:jc w:val="center"/>
        <w:rPr>
          <w:rFonts w:ascii="Calibri" w:eastAsia="Calibri" w:hAnsi="Calibri" w:cs="Calibri"/>
          <w:b/>
          <w:sz w:val="22"/>
          <w:szCs w:val="22"/>
        </w:rPr>
      </w:pPr>
    </w:p>
    <w:p w14:paraId="5ABDAB9F" w14:textId="77777777" w:rsidR="00494A88" w:rsidRDefault="00494A88">
      <w:pPr>
        <w:ind w:right="4"/>
        <w:jc w:val="center"/>
        <w:rPr>
          <w:rFonts w:ascii="Calibri" w:eastAsia="Calibri" w:hAnsi="Calibri" w:cs="Calibri"/>
          <w:b/>
          <w:sz w:val="22"/>
          <w:szCs w:val="22"/>
        </w:rPr>
      </w:pPr>
    </w:p>
    <w:p w14:paraId="396DCF60" w14:textId="77777777" w:rsidR="00494A88" w:rsidRDefault="00494A88">
      <w:pPr>
        <w:ind w:right="4"/>
        <w:jc w:val="center"/>
        <w:rPr>
          <w:rFonts w:ascii="Calibri" w:eastAsia="Calibri" w:hAnsi="Calibri" w:cs="Calibri"/>
          <w:b/>
          <w:sz w:val="22"/>
          <w:szCs w:val="22"/>
        </w:rPr>
      </w:pPr>
    </w:p>
    <w:p w14:paraId="44B95CD5" w14:textId="561726B4" w:rsidR="00494A88" w:rsidRDefault="00494A88" w:rsidP="00CE61AC">
      <w:pPr>
        <w:pStyle w:val="Titolo2"/>
        <w:ind w:right="4"/>
        <w:rPr>
          <w:rFonts w:ascii="Calibri" w:eastAsia="Calibri" w:hAnsi="Calibri" w:cs="Calibri"/>
          <w:sz w:val="22"/>
          <w:szCs w:val="22"/>
        </w:rPr>
      </w:pPr>
      <w:bookmarkStart w:id="1" w:name="_heading=h.bcldz9ftmzwe" w:colFirst="0" w:colLast="0"/>
      <w:bookmarkEnd w:id="1"/>
    </w:p>
    <w:sectPr w:rsidR="00494A88">
      <w:headerReference w:type="even" r:id="rId9"/>
      <w:headerReference w:type="default" r:id="rId10"/>
      <w:footerReference w:type="default" r:id="rId11"/>
      <w:footerReference w:type="first" r:id="rId12"/>
      <w:pgSz w:w="11906" w:h="16838"/>
      <w:pgMar w:top="720" w:right="720" w:bottom="720" w:left="720" w:header="708" w:footer="708"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546B50" w14:textId="77777777" w:rsidR="006541D5" w:rsidRDefault="006541D5">
      <w:r>
        <w:separator/>
      </w:r>
    </w:p>
  </w:endnote>
  <w:endnote w:type="continuationSeparator" w:id="0">
    <w:p w14:paraId="4A5D9D56" w14:textId="77777777" w:rsidR="006541D5" w:rsidRDefault="006541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embedRegular r:id="rId1" w:fontKey="{4E250C91-EDE6-4A53-AF8F-CE669D2BE14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2734D021-F9DE-4B8B-808D-CC2510607FA9}"/>
    <w:embedBold r:id="rId3" w:fontKey="{1A9E2BE4-6068-45A5-897D-CF29D31B1F88}"/>
    <w:embedItalic r:id="rId4" w:fontKey="{C2DFB641-2F4E-4698-A5ED-9B930E16DF4E}"/>
  </w:font>
  <w:font w:name="Yu Gothic UI">
    <w:panose1 w:val="020B05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embedRegular r:id="rId5" w:fontKey="{18F3C9C7-7966-44B3-B40C-84B0E35AF67D}"/>
  </w:font>
  <w:font w:name="Aptos">
    <w:charset w:val="00"/>
    <w:family w:val="swiss"/>
    <w:pitch w:val="variable"/>
    <w:sig w:usb0="20000287" w:usb1="00000003" w:usb2="00000000" w:usb3="00000000" w:csb0="0000019F" w:csb1="00000000"/>
    <w:embedRegular r:id="rId6" w:fontKey="{43D281CB-B544-4871-9420-15D95E34515F}"/>
  </w:font>
  <w:font w:name="Tahoma">
    <w:panose1 w:val="020B0604030504040204"/>
    <w:charset w:val="00"/>
    <w:family w:val="swiss"/>
    <w:pitch w:val="variable"/>
    <w:sig w:usb0="E1002EFF" w:usb1="C000605B" w:usb2="00000029" w:usb3="00000000" w:csb0="000101FF" w:csb1="00000000"/>
    <w:embedRegular r:id="rId7" w:fontKey="{0659A0C9-CBA4-4BC9-A386-7C361C40989B}"/>
  </w:font>
  <w:font w:name="TimesNewRomanPSMT">
    <w:altName w:val="Times New Roman"/>
    <w:panose1 w:val="00000000000000000000"/>
    <w:charset w:val="00"/>
    <w:family w:val="swiss"/>
    <w:notTrueType/>
    <w:pitch w:val="default"/>
    <w:sig w:usb0="00000003" w:usb1="00000000" w:usb2="00000000" w:usb3="00000000" w:csb0="00000001" w:csb1="00000000"/>
  </w:font>
  <w:font w:name="TimesNewRomanPS-BoldMT">
    <w:altName w:val="Times New Roman"/>
    <w:panose1 w:val="00000000000000000000"/>
    <w:charset w:val="00"/>
    <w:family w:val="roman"/>
    <w:notTrueType/>
    <w:pitch w:val="default"/>
  </w:font>
  <w:font w:name="SymbolMT">
    <w:altName w:val="Cambria"/>
    <w:panose1 w:val="00000000000000000000"/>
    <w:charset w:val="00"/>
    <w:family w:val="roman"/>
    <w:notTrueType/>
    <w:pitch w:val="default"/>
  </w:font>
  <w:font w:name="CourierNewPSMT">
    <w:altName w:val="Courier New"/>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8" w:fontKey="{220C0026-CADA-44F4-B53C-C20AF988E36F}"/>
  </w:font>
  <w:font w:name="MS Mincho">
    <w:altName w:val="ＭＳ 明朝"/>
    <w:panose1 w:val="02020609040205080304"/>
    <w:charset w:val="80"/>
    <w:family w:val="modern"/>
    <w:pitch w:val="fixed"/>
    <w:sig w:usb0="E00002FF" w:usb1="6AC7FDFB" w:usb2="08000012" w:usb3="00000000" w:csb0="0002009F" w:csb1="00000000"/>
  </w:font>
  <w:font w:name="Carlito">
    <w:altName w:val="Calibri"/>
    <w:charset w:val="00"/>
    <w:family w:val="swiss"/>
    <w:pitch w:val="variable"/>
  </w:font>
  <w:font w:name="Helvetica">
    <w:panose1 w:val="020B0604020202020204"/>
    <w:charset w:val="00"/>
    <w:family w:val="swiss"/>
    <w:pitch w:val="variable"/>
    <w:sig w:usb0="00000007" w:usb1="00000000" w:usb2="00000000" w:usb3="00000000" w:csb0="00000093" w:csb1="00000000"/>
    <w:embedRegular r:id="rId9" w:fontKey="{84A4491E-5660-4946-9597-531C05FE3C52}"/>
  </w:font>
  <w:font w:name="Arial Narrow">
    <w:panose1 w:val="020B0606020202030204"/>
    <w:charset w:val="00"/>
    <w:family w:val="swiss"/>
    <w:pitch w:val="variable"/>
    <w:sig w:usb0="00000287" w:usb1="00000800" w:usb2="00000000" w:usb3="00000000" w:csb0="0000009F" w:csb1="00000000"/>
    <w:embedRegular r:id="rId10" w:fontKey="{39C61052-D931-4EC0-9A45-4460EFD932FA}"/>
    <w:embedItalic r:id="rId11" w:fontKey="{AAA3AB10-0397-4186-9993-B1562FC4866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F3DC81" w14:textId="77777777" w:rsidR="00494A88" w:rsidRDefault="006541D5">
    <w:pPr>
      <w:jc w:val="right"/>
    </w:pPr>
    <w:r>
      <w:fldChar w:fldCharType="begin"/>
    </w:r>
    <w:r>
      <w:instrText>PAGE</w:instrText>
    </w:r>
    <w:r>
      <w:fldChar w:fldCharType="separate"/>
    </w:r>
    <w:r w:rsidR="00CE61AC">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1EC70" w14:textId="77777777" w:rsidR="00494A88" w:rsidRDefault="00494A8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518118" w14:textId="77777777" w:rsidR="006541D5" w:rsidRDefault="006541D5">
      <w:r>
        <w:separator/>
      </w:r>
    </w:p>
  </w:footnote>
  <w:footnote w:type="continuationSeparator" w:id="0">
    <w:p w14:paraId="5D98D7B8" w14:textId="77777777" w:rsidR="006541D5" w:rsidRDefault="006541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6DAF4" w14:textId="77777777" w:rsidR="00494A88" w:rsidRDefault="00494A88">
    <w:pPr>
      <w:pBdr>
        <w:top w:val="nil"/>
        <w:left w:val="nil"/>
        <w:bottom w:val="nil"/>
        <w:right w:val="nil"/>
        <w:between w:val="nil"/>
      </w:pBdr>
      <w:tabs>
        <w:tab w:val="center" w:pos="4819"/>
        <w:tab w:val="right" w:pos="9638"/>
      </w:tabs>
      <w:rPr>
        <w:rFonts w:ascii="Aptos" w:eastAsia="Aptos" w:hAnsi="Aptos" w:cs="Aptos"/>
        <w:color w:val="000000"/>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6923B" w14:textId="77777777" w:rsidR="00494A88" w:rsidRDefault="006541D5">
    <w:pPr>
      <w:jc w:val="center"/>
      <w:rPr>
        <w:rFonts w:ascii="Arial Narrow" w:eastAsia="Arial Narrow" w:hAnsi="Arial Narrow" w:cs="Arial Narrow"/>
        <w:i/>
        <w:color w:val="808080"/>
        <w:sz w:val="16"/>
        <w:szCs w:val="16"/>
      </w:rPr>
    </w:pPr>
    <w:r>
      <w:rPr>
        <w:noProof/>
      </w:rPr>
      <w:drawing>
        <wp:anchor distT="0" distB="0" distL="0" distR="0" simplePos="0" relativeHeight="251658240" behindDoc="1" locked="0" layoutInCell="1" hidden="0" allowOverlap="1" wp14:anchorId="2C90CE1C" wp14:editId="4A3FCAA2">
          <wp:simplePos x="0" y="0"/>
          <wp:positionH relativeFrom="column">
            <wp:posOffset>2708438</wp:posOffset>
          </wp:positionH>
          <wp:positionV relativeFrom="paragraph">
            <wp:posOffset>-438149</wp:posOffset>
          </wp:positionV>
          <wp:extent cx="1225550" cy="670560"/>
          <wp:effectExtent l="0" t="0" r="0" b="0"/>
          <wp:wrapNone/>
          <wp:docPr id="89876948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225550" cy="670560"/>
                  </a:xfrm>
                  <a:prstGeom prst="rect">
                    <a:avLst/>
                  </a:prstGeom>
                  <a:ln/>
                </pic:spPr>
              </pic:pic>
            </a:graphicData>
          </a:graphic>
        </wp:anchor>
      </w:drawing>
    </w:r>
  </w:p>
  <w:p w14:paraId="20C4C65D" w14:textId="77777777" w:rsidR="00494A88" w:rsidRDefault="00494A88">
    <w:pPr>
      <w:rPr>
        <w:rFonts w:ascii="Arial Narrow" w:eastAsia="Arial Narrow" w:hAnsi="Arial Narrow" w:cs="Arial Narrow"/>
        <w:i/>
        <w:color w:val="808080"/>
        <w:sz w:val="16"/>
        <w:szCs w:val="16"/>
      </w:rPr>
    </w:pPr>
  </w:p>
  <w:p w14:paraId="37FAAAF6" w14:textId="77777777" w:rsidR="00494A88" w:rsidRDefault="006541D5">
    <w:pPr>
      <w:jc w:val="center"/>
      <w:rPr>
        <w:rFonts w:ascii="Arial Narrow" w:eastAsia="Arial Narrow" w:hAnsi="Arial Narrow" w:cs="Arial Narrow"/>
        <w:i/>
        <w:color w:val="808080"/>
        <w:sz w:val="16"/>
        <w:szCs w:val="16"/>
      </w:rPr>
    </w:pPr>
    <w:r>
      <w:rPr>
        <w:rFonts w:ascii="Arial Narrow" w:eastAsia="Arial Narrow" w:hAnsi="Arial Narrow" w:cs="Arial Narrow"/>
        <w:i/>
        <w:color w:val="808080"/>
        <w:sz w:val="16"/>
        <w:szCs w:val="16"/>
      </w:rPr>
      <w:t>Via Valmarina, 25 – 24123 Bergamo (Bg).</w:t>
    </w:r>
  </w:p>
  <w:p w14:paraId="267D7CA8" w14:textId="77777777" w:rsidR="00494A88" w:rsidRDefault="006541D5">
    <w:pPr>
      <w:jc w:val="center"/>
      <w:rPr>
        <w:rFonts w:ascii="Arial Narrow" w:eastAsia="Arial Narrow" w:hAnsi="Arial Narrow" w:cs="Arial Narrow"/>
        <w:i/>
        <w:color w:val="808080"/>
        <w:sz w:val="16"/>
        <w:szCs w:val="16"/>
      </w:rPr>
    </w:pPr>
    <w:r>
      <w:rPr>
        <w:rFonts w:ascii="Arial Narrow" w:eastAsia="Arial Narrow" w:hAnsi="Arial Narrow" w:cs="Arial Narrow"/>
        <w:i/>
        <w:color w:val="808080"/>
        <w:sz w:val="16"/>
        <w:szCs w:val="16"/>
      </w:rPr>
      <w:t xml:space="preserve">Codice fiscale: 04240740169. PEC: </w:t>
    </w:r>
    <w:hyperlink r:id="rId2">
      <w:r>
        <w:rPr>
          <w:rFonts w:ascii="Arial Narrow" w:eastAsia="Arial Narrow" w:hAnsi="Arial Narrow" w:cs="Arial Narrow"/>
          <w:i/>
          <w:color w:val="0563C1"/>
          <w:sz w:val="16"/>
          <w:szCs w:val="16"/>
          <w:u w:val="single"/>
        </w:rPr>
        <w:t>galcollinebergamasche@pec.buffetti.it</w:t>
      </w:r>
    </w:hyperlink>
    <w:r>
      <w:rPr>
        <w:rFonts w:ascii="Arial Narrow" w:eastAsia="Arial Narrow" w:hAnsi="Arial Narrow" w:cs="Arial Narrow"/>
        <w:i/>
        <w:color w:val="808080"/>
        <w:sz w:val="16"/>
        <w:szCs w:val="16"/>
      </w:rPr>
      <w:t>. Tel. 035 573185</w:t>
    </w:r>
  </w:p>
  <w:p w14:paraId="3723F1FA" w14:textId="77777777" w:rsidR="00494A88" w:rsidRDefault="006541D5">
    <w:pPr>
      <w:jc w:val="center"/>
      <w:rPr>
        <w:rFonts w:ascii="Arial Narrow" w:eastAsia="Arial Narrow" w:hAnsi="Arial Narrow" w:cs="Arial Narrow"/>
        <w:i/>
        <w:color w:val="808080"/>
        <w:sz w:val="16"/>
        <w:szCs w:val="16"/>
      </w:rPr>
    </w:pPr>
    <w:r>
      <w:rPr>
        <w:rFonts w:ascii="Arial Narrow" w:eastAsia="Arial Narrow" w:hAnsi="Arial Narrow" w:cs="Arial Narrow"/>
        <w:i/>
        <w:color w:val="808080"/>
        <w:sz w:val="16"/>
        <w:szCs w:val="16"/>
      </w:rPr>
      <w:t>Capitale sociale sottoscritto Euro 21.900, parte versata Euro 21.900</w:t>
    </w:r>
  </w:p>
  <w:p w14:paraId="7906DF74" w14:textId="77777777" w:rsidR="00494A88" w:rsidRDefault="006541D5">
    <w:pPr>
      <w:jc w:val="center"/>
      <w:rPr>
        <w:rFonts w:ascii="Arial Narrow" w:eastAsia="Arial Narrow" w:hAnsi="Arial Narrow" w:cs="Arial Narrow"/>
        <w:i/>
        <w:color w:val="808080"/>
        <w:sz w:val="16"/>
        <w:szCs w:val="16"/>
      </w:rPr>
    </w:pPr>
    <w:r>
      <w:rPr>
        <w:rFonts w:ascii="Arial Narrow" w:eastAsia="Arial Narrow" w:hAnsi="Arial Narrow" w:cs="Arial Narrow"/>
        <w:i/>
        <w:color w:val="808080"/>
        <w:sz w:val="16"/>
        <w:szCs w:val="16"/>
      </w:rPr>
      <w:t>Registro Imprese n° 04240740169 – R.E.A. n° 447263 – Ufficio di BERGAMO</w:t>
    </w:r>
  </w:p>
  <w:p w14:paraId="17B76AF7" w14:textId="77777777" w:rsidR="00494A88" w:rsidRDefault="006541D5">
    <w:pPr>
      <w:widowControl w:val="0"/>
      <w:spacing w:before="37"/>
      <w:rPr>
        <w:rFonts w:ascii="Arial Narrow" w:eastAsia="Arial Narrow" w:hAnsi="Arial Narrow" w:cs="Arial Narrow"/>
        <w:i/>
        <w:color w:val="808080"/>
        <w:sz w:val="16"/>
        <w:szCs w:val="16"/>
      </w:rPr>
    </w:pPr>
    <w:r>
      <w:rPr>
        <w:rFonts w:ascii="Tahoma" w:eastAsia="Tahoma" w:hAnsi="Tahoma" w:cs="Tahoma"/>
        <w:noProof/>
        <w:sz w:val="16"/>
        <w:szCs w:val="16"/>
      </w:rPr>
      <w:drawing>
        <wp:inline distT="114300" distB="114300" distL="114300" distR="114300" wp14:anchorId="0C4D871D" wp14:editId="15452A58">
          <wp:extent cx="6409690" cy="546100"/>
          <wp:effectExtent l="0" t="0" r="0" b="0"/>
          <wp:docPr id="89876948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
                  <a:srcRect/>
                  <a:stretch>
                    <a:fillRect/>
                  </a:stretch>
                </pic:blipFill>
                <pic:spPr>
                  <a:xfrm>
                    <a:off x="0" y="0"/>
                    <a:ext cx="6409690" cy="5461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3E55EF"/>
    <w:multiLevelType w:val="multilevel"/>
    <w:tmpl w:val="120E1398"/>
    <w:lvl w:ilvl="0">
      <w:numFmt w:val="bullet"/>
      <w:lvlText w:val="-"/>
      <w:lvlJc w:val="left"/>
      <w:pPr>
        <w:ind w:left="685" w:hanging="299"/>
      </w:pPr>
      <w:rPr>
        <w:rFonts w:ascii="Arial" w:eastAsia="Arial" w:hAnsi="Arial" w:cs="Arial"/>
        <w:b w:val="0"/>
        <w:i w:val="0"/>
        <w:sz w:val="16"/>
        <w:szCs w:val="16"/>
      </w:rPr>
    </w:lvl>
    <w:lvl w:ilvl="1">
      <w:numFmt w:val="bullet"/>
      <w:lvlText w:val="•"/>
      <w:lvlJc w:val="left"/>
      <w:pPr>
        <w:ind w:left="1232" w:hanging="298"/>
      </w:pPr>
    </w:lvl>
    <w:lvl w:ilvl="2">
      <w:numFmt w:val="bullet"/>
      <w:lvlText w:val="•"/>
      <w:lvlJc w:val="left"/>
      <w:pPr>
        <w:ind w:left="1785" w:hanging="299"/>
      </w:pPr>
    </w:lvl>
    <w:lvl w:ilvl="3">
      <w:numFmt w:val="bullet"/>
      <w:lvlText w:val="•"/>
      <w:lvlJc w:val="left"/>
      <w:pPr>
        <w:ind w:left="2338" w:hanging="299"/>
      </w:pPr>
    </w:lvl>
    <w:lvl w:ilvl="4">
      <w:numFmt w:val="bullet"/>
      <w:lvlText w:val="•"/>
      <w:lvlJc w:val="left"/>
      <w:pPr>
        <w:ind w:left="2890" w:hanging="299"/>
      </w:pPr>
    </w:lvl>
    <w:lvl w:ilvl="5">
      <w:numFmt w:val="bullet"/>
      <w:lvlText w:val="•"/>
      <w:lvlJc w:val="left"/>
      <w:pPr>
        <w:ind w:left="3443" w:hanging="298"/>
      </w:pPr>
    </w:lvl>
    <w:lvl w:ilvl="6">
      <w:numFmt w:val="bullet"/>
      <w:lvlText w:val="•"/>
      <w:lvlJc w:val="left"/>
      <w:pPr>
        <w:ind w:left="3996" w:hanging="298"/>
      </w:pPr>
    </w:lvl>
    <w:lvl w:ilvl="7">
      <w:numFmt w:val="bullet"/>
      <w:lvlText w:val="•"/>
      <w:lvlJc w:val="left"/>
      <w:pPr>
        <w:ind w:left="4548" w:hanging="299"/>
      </w:pPr>
    </w:lvl>
    <w:lvl w:ilvl="8">
      <w:numFmt w:val="bullet"/>
      <w:lvlText w:val="•"/>
      <w:lvlJc w:val="left"/>
      <w:pPr>
        <w:ind w:left="5101" w:hanging="299"/>
      </w:pPr>
    </w:lvl>
  </w:abstractNum>
  <w:abstractNum w:abstractNumId="1" w15:restartNumberingAfterBreak="0">
    <w:nsid w:val="1B315370"/>
    <w:multiLevelType w:val="multilevel"/>
    <w:tmpl w:val="650868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D487E32"/>
    <w:multiLevelType w:val="multilevel"/>
    <w:tmpl w:val="54EA29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267149B"/>
    <w:multiLevelType w:val="multilevel"/>
    <w:tmpl w:val="879626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26D453E5"/>
    <w:multiLevelType w:val="multilevel"/>
    <w:tmpl w:val="8CB806B6"/>
    <w:lvl w:ilvl="0">
      <w:start w:val="1"/>
      <w:numFmt w:val="bullet"/>
      <w:lvlText w:val="●"/>
      <w:lvlJc w:val="left"/>
      <w:pPr>
        <w:ind w:left="720" w:hanging="360"/>
      </w:pPr>
      <w:rPr>
        <w:rFonts w:ascii="Noto Sans Symbols" w:eastAsia="Noto Sans Symbols" w:hAnsi="Noto Sans Symbols" w:cs="Noto Sans Symbols"/>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A0510E5"/>
    <w:multiLevelType w:val="multilevel"/>
    <w:tmpl w:val="C36222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D4962FF"/>
    <w:multiLevelType w:val="multilevel"/>
    <w:tmpl w:val="2C46BF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FA616BA"/>
    <w:multiLevelType w:val="multilevel"/>
    <w:tmpl w:val="3DBA72C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02045DC"/>
    <w:multiLevelType w:val="multilevel"/>
    <w:tmpl w:val="78B8926C"/>
    <w:lvl w:ilvl="0">
      <w:start w:val="1"/>
      <w:numFmt w:val="decimal"/>
      <w:lvlText w:val="%1."/>
      <w:lvlJc w:val="left"/>
      <w:pPr>
        <w:ind w:left="72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5E77FBF"/>
    <w:multiLevelType w:val="multilevel"/>
    <w:tmpl w:val="140A2F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BA70C46"/>
    <w:multiLevelType w:val="multilevel"/>
    <w:tmpl w:val="0B2E230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4E2773FD"/>
    <w:multiLevelType w:val="multilevel"/>
    <w:tmpl w:val="EEEC5ED6"/>
    <w:lvl w:ilvl="0">
      <w:start w:val="1"/>
      <w:numFmt w:val="decimal"/>
      <w:lvlText w:val="%1)"/>
      <w:lvlJc w:val="left"/>
      <w:pPr>
        <w:ind w:left="720" w:hanging="360"/>
      </w:pPr>
    </w:lvl>
    <w:lvl w:ilvl="1">
      <w:start w:val="1"/>
      <w:numFmt w:val="decimal"/>
      <w:lvlText w:val="%2)"/>
      <w:lvlJc w:val="left"/>
      <w:pPr>
        <w:ind w:left="36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3452787"/>
    <w:multiLevelType w:val="multilevel"/>
    <w:tmpl w:val="2DE295AE"/>
    <w:lvl w:ilvl="0">
      <w:start w:val="1"/>
      <w:numFmt w:val="decimal"/>
      <w:lvlText w:val="%1."/>
      <w:lvlJc w:val="left"/>
      <w:pPr>
        <w:ind w:left="720" w:hanging="360"/>
      </w:pPr>
      <w:rPr>
        <w:rFonts w:ascii="Calibri" w:eastAsia="Calibri" w:hAnsi="Calibri" w:cs="Calibri"/>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63B20222"/>
    <w:multiLevelType w:val="multilevel"/>
    <w:tmpl w:val="02888C44"/>
    <w:lvl w:ilvl="0">
      <w:numFmt w:val="bullet"/>
      <w:lvlText w:val="•"/>
      <w:lvlJc w:val="left"/>
      <w:pPr>
        <w:ind w:left="720" w:hanging="360"/>
      </w:pPr>
      <w:rPr>
        <w:rFonts w:ascii="Yu Gothic UI" w:eastAsia="Yu Gothic UI" w:hAnsi="Yu Gothic UI" w:cs="Yu Gothic U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66232362"/>
    <w:multiLevelType w:val="multilevel"/>
    <w:tmpl w:val="19E6D3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69996617"/>
    <w:multiLevelType w:val="multilevel"/>
    <w:tmpl w:val="8AEC22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6CD31B1A"/>
    <w:multiLevelType w:val="multilevel"/>
    <w:tmpl w:val="DC6CBEC8"/>
    <w:lvl w:ilvl="0">
      <w:start w:val="1"/>
      <w:numFmt w:val="bullet"/>
      <w:lvlText w:val="●"/>
      <w:lvlJc w:val="left"/>
      <w:pPr>
        <w:ind w:left="360" w:hanging="360"/>
      </w:pPr>
      <w:rPr>
        <w:rFonts w:ascii="Noto Sans Symbols" w:eastAsia="Noto Sans Symbols" w:hAnsi="Noto Sans Symbols" w:cs="Noto Sans Symbols"/>
        <w:sz w:val="12"/>
        <w:szCs w:val="12"/>
      </w:rPr>
    </w:lvl>
    <w:lvl w:ilvl="1">
      <w:start w:val="1"/>
      <w:numFmt w:val="bullet"/>
      <w:lvlText w:val="⮚"/>
      <w:lvlJc w:val="left"/>
      <w:pPr>
        <w:ind w:left="720" w:hanging="360"/>
      </w:pPr>
      <w:rPr>
        <w:rFonts w:ascii="Noto Sans Symbols" w:eastAsia="Noto Sans Symbols" w:hAnsi="Noto Sans Symbols" w:cs="Noto Sans Symbols"/>
      </w:rPr>
    </w:lvl>
    <w:lvl w:ilvl="2">
      <w:start w:val="1"/>
      <w:numFmt w:val="bullet"/>
      <w:lvlText w:val="▪"/>
      <w:lvlJc w:val="left"/>
      <w:pPr>
        <w:ind w:left="1080" w:hanging="360"/>
      </w:pPr>
      <w:rPr>
        <w:rFonts w:ascii="Noto Sans Symbols" w:eastAsia="Noto Sans Symbols" w:hAnsi="Noto Sans Symbols" w:cs="Noto Sans Symbols"/>
      </w:rPr>
    </w:lvl>
    <w:lvl w:ilvl="3">
      <w:start w:val="1"/>
      <w:numFmt w:val="bullet"/>
      <w:lvlText w:val="●"/>
      <w:lvlJc w:val="left"/>
      <w:pPr>
        <w:ind w:left="1440" w:hanging="360"/>
      </w:pPr>
      <w:rPr>
        <w:rFonts w:ascii="Noto Sans Symbols" w:eastAsia="Noto Sans Symbols" w:hAnsi="Noto Sans Symbols" w:cs="Noto Sans Symbols"/>
      </w:rPr>
    </w:lvl>
    <w:lvl w:ilvl="4">
      <w:start w:val="1"/>
      <w:numFmt w:val="bullet"/>
      <w:lvlText w:val="♦"/>
      <w:lvlJc w:val="left"/>
      <w:pPr>
        <w:ind w:left="1800" w:hanging="360"/>
      </w:pPr>
      <w:rPr>
        <w:rFonts w:ascii="Noto Sans Symbols" w:eastAsia="Noto Sans Symbols" w:hAnsi="Noto Sans Symbols" w:cs="Noto Sans Symbols"/>
      </w:rPr>
    </w:lvl>
    <w:lvl w:ilvl="5">
      <w:start w:val="1"/>
      <w:numFmt w:val="bullet"/>
      <w:lvlText w:val="⮚"/>
      <w:lvlJc w:val="left"/>
      <w:pPr>
        <w:ind w:left="2160" w:hanging="360"/>
      </w:pPr>
      <w:rPr>
        <w:rFonts w:ascii="Noto Sans Symbols" w:eastAsia="Noto Sans Symbols" w:hAnsi="Noto Sans Symbols" w:cs="Noto Sans Symbols"/>
      </w:rPr>
    </w:lvl>
    <w:lvl w:ilvl="6">
      <w:start w:val="1"/>
      <w:numFmt w:val="bullet"/>
      <w:lvlText w:val="▪"/>
      <w:lvlJc w:val="left"/>
      <w:pPr>
        <w:ind w:left="2520" w:hanging="360"/>
      </w:pPr>
      <w:rPr>
        <w:rFonts w:ascii="Noto Sans Symbols" w:eastAsia="Noto Sans Symbols" w:hAnsi="Noto Sans Symbols" w:cs="Noto Sans Symbols"/>
      </w:rPr>
    </w:lvl>
    <w:lvl w:ilvl="7">
      <w:start w:val="1"/>
      <w:numFmt w:val="bullet"/>
      <w:lvlText w:val="●"/>
      <w:lvlJc w:val="left"/>
      <w:pPr>
        <w:ind w:left="2880" w:hanging="360"/>
      </w:pPr>
      <w:rPr>
        <w:rFonts w:ascii="Noto Sans Symbols" w:eastAsia="Noto Sans Symbols" w:hAnsi="Noto Sans Symbols" w:cs="Noto Sans Symbols"/>
      </w:rPr>
    </w:lvl>
    <w:lvl w:ilvl="8">
      <w:start w:val="1"/>
      <w:numFmt w:val="bullet"/>
      <w:lvlText w:val="♦"/>
      <w:lvlJc w:val="left"/>
      <w:pPr>
        <w:ind w:left="3240" w:hanging="360"/>
      </w:pPr>
      <w:rPr>
        <w:rFonts w:ascii="Noto Sans Symbols" w:eastAsia="Noto Sans Symbols" w:hAnsi="Noto Sans Symbols" w:cs="Noto Sans Symbols"/>
      </w:rPr>
    </w:lvl>
  </w:abstractNum>
  <w:abstractNum w:abstractNumId="17" w15:restartNumberingAfterBreak="0">
    <w:nsid w:val="74B643A4"/>
    <w:multiLevelType w:val="multilevel"/>
    <w:tmpl w:val="7A9ACD24"/>
    <w:lvl w:ilvl="0">
      <w:numFmt w:val="bullet"/>
      <w:lvlText w:val="●"/>
      <w:lvlJc w:val="left"/>
      <w:pPr>
        <w:ind w:left="1652" w:hanging="299"/>
      </w:pPr>
      <w:rPr>
        <w:rFonts w:ascii="Noto Sans Symbols" w:eastAsia="Noto Sans Symbols" w:hAnsi="Noto Sans Symbols" w:cs="Noto Sans Symbols"/>
        <w:b w:val="0"/>
        <w:i w:val="0"/>
        <w:sz w:val="16"/>
        <w:szCs w:val="16"/>
      </w:rPr>
    </w:lvl>
    <w:lvl w:ilvl="1">
      <w:numFmt w:val="bullet"/>
      <w:lvlText w:val="o"/>
      <w:lvlJc w:val="left"/>
      <w:pPr>
        <w:ind w:left="1948" w:hanging="295"/>
      </w:pPr>
      <w:rPr>
        <w:rFonts w:ascii="Courier New" w:eastAsia="Courier New" w:hAnsi="Courier New" w:cs="Courier New"/>
        <w:b w:val="0"/>
        <w:i w:val="0"/>
        <w:sz w:val="16"/>
        <w:szCs w:val="16"/>
      </w:rPr>
    </w:lvl>
    <w:lvl w:ilvl="2">
      <w:numFmt w:val="bullet"/>
      <w:lvlText w:val="•"/>
      <w:lvlJc w:val="left"/>
      <w:pPr>
        <w:ind w:left="2848" w:hanging="297"/>
      </w:pPr>
    </w:lvl>
    <w:lvl w:ilvl="3">
      <w:numFmt w:val="bullet"/>
      <w:lvlText w:val="•"/>
      <w:lvlJc w:val="left"/>
      <w:pPr>
        <w:ind w:left="3757" w:hanging="297"/>
      </w:pPr>
    </w:lvl>
    <w:lvl w:ilvl="4">
      <w:numFmt w:val="bullet"/>
      <w:lvlText w:val="•"/>
      <w:lvlJc w:val="left"/>
      <w:pPr>
        <w:ind w:left="4666" w:hanging="297"/>
      </w:pPr>
    </w:lvl>
    <w:lvl w:ilvl="5">
      <w:numFmt w:val="bullet"/>
      <w:lvlText w:val="•"/>
      <w:lvlJc w:val="left"/>
      <w:pPr>
        <w:ind w:left="5574" w:hanging="297"/>
      </w:pPr>
    </w:lvl>
    <w:lvl w:ilvl="6">
      <w:numFmt w:val="bullet"/>
      <w:lvlText w:val="•"/>
      <w:lvlJc w:val="left"/>
      <w:pPr>
        <w:ind w:left="6483" w:hanging="297"/>
      </w:pPr>
    </w:lvl>
    <w:lvl w:ilvl="7">
      <w:numFmt w:val="bullet"/>
      <w:lvlText w:val="•"/>
      <w:lvlJc w:val="left"/>
      <w:pPr>
        <w:ind w:left="7392" w:hanging="297"/>
      </w:pPr>
    </w:lvl>
    <w:lvl w:ilvl="8">
      <w:numFmt w:val="bullet"/>
      <w:lvlText w:val="•"/>
      <w:lvlJc w:val="left"/>
      <w:pPr>
        <w:ind w:left="8300" w:hanging="297"/>
      </w:pPr>
    </w:lvl>
  </w:abstractNum>
  <w:abstractNum w:abstractNumId="18" w15:restartNumberingAfterBreak="0">
    <w:nsid w:val="78CB44A2"/>
    <w:multiLevelType w:val="multilevel"/>
    <w:tmpl w:val="5DDAC6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B705D0D"/>
    <w:multiLevelType w:val="multilevel"/>
    <w:tmpl w:val="2C88AA3E"/>
    <w:lvl w:ilvl="0">
      <w:start w:val="1"/>
      <w:numFmt w:val="bullet"/>
      <w:lvlText w:val="●"/>
      <w:lvlJc w:val="left"/>
      <w:pPr>
        <w:ind w:left="360" w:hanging="360"/>
      </w:pPr>
      <w:rPr>
        <w:rFonts w:ascii="Noto Sans Symbols" w:eastAsia="Noto Sans Symbols" w:hAnsi="Noto Sans Symbols" w:cs="Noto Sans Symbols"/>
        <w:sz w:val="12"/>
        <w:szCs w:val="12"/>
      </w:rPr>
    </w:lvl>
    <w:lvl w:ilvl="1">
      <w:start w:val="1"/>
      <w:numFmt w:val="bullet"/>
      <w:lvlText w:val="⮚"/>
      <w:lvlJc w:val="left"/>
      <w:pPr>
        <w:ind w:left="720" w:hanging="360"/>
      </w:pPr>
      <w:rPr>
        <w:rFonts w:ascii="Noto Sans Symbols" w:eastAsia="Noto Sans Symbols" w:hAnsi="Noto Sans Symbols" w:cs="Noto Sans Symbols"/>
      </w:rPr>
    </w:lvl>
    <w:lvl w:ilvl="2">
      <w:start w:val="1"/>
      <w:numFmt w:val="bullet"/>
      <w:lvlText w:val="▪"/>
      <w:lvlJc w:val="left"/>
      <w:pPr>
        <w:ind w:left="1080" w:hanging="360"/>
      </w:pPr>
      <w:rPr>
        <w:rFonts w:ascii="Noto Sans Symbols" w:eastAsia="Noto Sans Symbols" w:hAnsi="Noto Sans Symbols" w:cs="Noto Sans Symbols"/>
      </w:rPr>
    </w:lvl>
    <w:lvl w:ilvl="3">
      <w:start w:val="1"/>
      <w:numFmt w:val="bullet"/>
      <w:lvlText w:val="●"/>
      <w:lvlJc w:val="left"/>
      <w:pPr>
        <w:ind w:left="1440" w:hanging="360"/>
      </w:pPr>
      <w:rPr>
        <w:rFonts w:ascii="Noto Sans Symbols" w:eastAsia="Noto Sans Symbols" w:hAnsi="Noto Sans Symbols" w:cs="Noto Sans Symbols"/>
      </w:rPr>
    </w:lvl>
    <w:lvl w:ilvl="4">
      <w:start w:val="1"/>
      <w:numFmt w:val="bullet"/>
      <w:lvlText w:val="♦"/>
      <w:lvlJc w:val="left"/>
      <w:pPr>
        <w:ind w:left="1800" w:hanging="360"/>
      </w:pPr>
      <w:rPr>
        <w:rFonts w:ascii="Noto Sans Symbols" w:eastAsia="Noto Sans Symbols" w:hAnsi="Noto Sans Symbols" w:cs="Noto Sans Symbols"/>
      </w:rPr>
    </w:lvl>
    <w:lvl w:ilvl="5">
      <w:start w:val="1"/>
      <w:numFmt w:val="bullet"/>
      <w:lvlText w:val="⮚"/>
      <w:lvlJc w:val="left"/>
      <w:pPr>
        <w:ind w:left="2160" w:hanging="360"/>
      </w:pPr>
      <w:rPr>
        <w:rFonts w:ascii="Noto Sans Symbols" w:eastAsia="Noto Sans Symbols" w:hAnsi="Noto Sans Symbols" w:cs="Noto Sans Symbols"/>
      </w:rPr>
    </w:lvl>
    <w:lvl w:ilvl="6">
      <w:start w:val="1"/>
      <w:numFmt w:val="bullet"/>
      <w:lvlText w:val="▪"/>
      <w:lvlJc w:val="left"/>
      <w:pPr>
        <w:ind w:left="2520" w:hanging="360"/>
      </w:pPr>
      <w:rPr>
        <w:rFonts w:ascii="Noto Sans Symbols" w:eastAsia="Noto Sans Symbols" w:hAnsi="Noto Sans Symbols" w:cs="Noto Sans Symbols"/>
      </w:rPr>
    </w:lvl>
    <w:lvl w:ilvl="7">
      <w:start w:val="1"/>
      <w:numFmt w:val="bullet"/>
      <w:lvlText w:val="●"/>
      <w:lvlJc w:val="left"/>
      <w:pPr>
        <w:ind w:left="2880" w:hanging="360"/>
      </w:pPr>
      <w:rPr>
        <w:rFonts w:ascii="Noto Sans Symbols" w:eastAsia="Noto Sans Symbols" w:hAnsi="Noto Sans Symbols" w:cs="Noto Sans Symbols"/>
      </w:rPr>
    </w:lvl>
    <w:lvl w:ilvl="8">
      <w:start w:val="1"/>
      <w:numFmt w:val="bullet"/>
      <w:lvlText w:val="♦"/>
      <w:lvlJc w:val="left"/>
      <w:pPr>
        <w:ind w:left="3240" w:hanging="360"/>
      </w:pPr>
      <w:rPr>
        <w:rFonts w:ascii="Noto Sans Symbols" w:eastAsia="Noto Sans Symbols" w:hAnsi="Noto Sans Symbols" w:cs="Noto Sans Symbols"/>
      </w:rPr>
    </w:lvl>
  </w:abstractNum>
  <w:num w:numId="1" w16cid:durableId="880747771">
    <w:abstractNumId w:val="18"/>
  </w:num>
  <w:num w:numId="2" w16cid:durableId="1227423799">
    <w:abstractNumId w:val="3"/>
  </w:num>
  <w:num w:numId="3" w16cid:durableId="1817918097">
    <w:abstractNumId w:val="17"/>
  </w:num>
  <w:num w:numId="4" w16cid:durableId="758218511">
    <w:abstractNumId w:val="7"/>
  </w:num>
  <w:num w:numId="5" w16cid:durableId="584193210">
    <w:abstractNumId w:val="19"/>
  </w:num>
  <w:num w:numId="6" w16cid:durableId="1605261031">
    <w:abstractNumId w:val="13"/>
  </w:num>
  <w:num w:numId="7" w16cid:durableId="1209148732">
    <w:abstractNumId w:val="5"/>
  </w:num>
  <w:num w:numId="8" w16cid:durableId="2087339327">
    <w:abstractNumId w:val="15"/>
  </w:num>
  <w:num w:numId="9" w16cid:durableId="2092969104">
    <w:abstractNumId w:val="2"/>
  </w:num>
  <w:num w:numId="10" w16cid:durableId="911431868">
    <w:abstractNumId w:val="4"/>
  </w:num>
  <w:num w:numId="11" w16cid:durableId="1104765945">
    <w:abstractNumId w:val="8"/>
  </w:num>
  <w:num w:numId="12" w16cid:durableId="1622616545">
    <w:abstractNumId w:val="11"/>
  </w:num>
  <w:num w:numId="13" w16cid:durableId="234629610">
    <w:abstractNumId w:val="16"/>
  </w:num>
  <w:num w:numId="14" w16cid:durableId="802045560">
    <w:abstractNumId w:val="9"/>
  </w:num>
  <w:num w:numId="15" w16cid:durableId="1036583882">
    <w:abstractNumId w:val="0"/>
  </w:num>
  <w:num w:numId="16" w16cid:durableId="1135609164">
    <w:abstractNumId w:val="1"/>
  </w:num>
  <w:num w:numId="17" w16cid:durableId="1093361526">
    <w:abstractNumId w:val="6"/>
  </w:num>
  <w:num w:numId="18" w16cid:durableId="1561865712">
    <w:abstractNumId w:val="14"/>
  </w:num>
  <w:num w:numId="19" w16cid:durableId="860780888">
    <w:abstractNumId w:val="12"/>
  </w:num>
  <w:num w:numId="20" w16cid:durableId="130380289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A88"/>
    <w:rsid w:val="00494A88"/>
    <w:rsid w:val="006541D5"/>
    <w:rsid w:val="006E6AEC"/>
    <w:rsid w:val="00CE61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776B74D"/>
  <w15:docId w15:val="{83F718AE-9A55-4619-93C3-1876DD0531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85C30"/>
  </w:style>
  <w:style w:type="paragraph" w:styleId="Titolo1">
    <w:name w:val="heading 1"/>
    <w:basedOn w:val="Normale"/>
    <w:next w:val="Normale"/>
    <w:link w:val="Titolo1Carattere"/>
    <w:uiPriority w:val="9"/>
    <w:qFormat/>
    <w:rsid w:val="004E771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4E7710"/>
    <w:pPr>
      <w:keepNext/>
      <w:outlineLvl w:val="1"/>
    </w:pPr>
    <w:rPr>
      <w:b/>
    </w:rPr>
  </w:style>
  <w:style w:type="paragraph" w:styleId="Titolo3">
    <w:name w:val="heading 3"/>
    <w:basedOn w:val="Normale"/>
    <w:link w:val="Titolo3Carattere"/>
    <w:uiPriority w:val="9"/>
    <w:semiHidden/>
    <w:unhideWhenUsed/>
    <w:qFormat/>
    <w:rsid w:val="00335C05"/>
    <w:pPr>
      <w:widowControl w:val="0"/>
      <w:autoSpaceDE w:val="0"/>
      <w:autoSpaceDN w:val="0"/>
      <w:ind w:left="1647" w:hanging="474"/>
      <w:jc w:val="both"/>
      <w:outlineLvl w:val="2"/>
    </w:pPr>
    <w:rPr>
      <w:rFonts w:ascii="Arial" w:eastAsia="Arial" w:hAnsi="Arial" w:cs="Arial"/>
      <w:b/>
      <w:bCs/>
      <w:sz w:val="18"/>
      <w:szCs w:val="18"/>
      <w:lang w:eastAsia="en-US"/>
    </w:rPr>
  </w:style>
  <w:style w:type="paragraph" w:styleId="Titolo4">
    <w:name w:val="heading 4"/>
    <w:basedOn w:val="Normale"/>
    <w:link w:val="Titolo4Carattere"/>
    <w:uiPriority w:val="9"/>
    <w:semiHidden/>
    <w:unhideWhenUsed/>
    <w:qFormat/>
    <w:rsid w:val="00335C05"/>
    <w:pPr>
      <w:widowControl w:val="0"/>
      <w:autoSpaceDE w:val="0"/>
      <w:autoSpaceDN w:val="0"/>
      <w:ind w:left="1055"/>
      <w:outlineLvl w:val="3"/>
    </w:pPr>
    <w:rPr>
      <w:rFonts w:ascii="Arial" w:eastAsia="Arial" w:hAnsi="Arial" w:cs="Arial"/>
      <w:b/>
      <w:bCs/>
      <w:sz w:val="16"/>
      <w:szCs w:val="16"/>
      <w:lang w:eastAsia="en-US"/>
    </w:rPr>
  </w:style>
  <w:style w:type="paragraph" w:styleId="Titolo5">
    <w:name w:val="heading 5"/>
    <w:basedOn w:val="Normale"/>
    <w:link w:val="Titolo5Carattere"/>
    <w:uiPriority w:val="9"/>
    <w:semiHidden/>
    <w:unhideWhenUsed/>
    <w:qFormat/>
    <w:rsid w:val="00335C05"/>
    <w:pPr>
      <w:widowControl w:val="0"/>
      <w:autoSpaceDE w:val="0"/>
      <w:autoSpaceDN w:val="0"/>
      <w:ind w:left="1055"/>
      <w:jc w:val="both"/>
      <w:outlineLvl w:val="4"/>
    </w:pPr>
    <w:rPr>
      <w:rFonts w:ascii="Arial" w:eastAsia="Arial" w:hAnsi="Arial" w:cs="Arial"/>
      <w:b/>
      <w:bCs/>
      <w:sz w:val="16"/>
      <w:szCs w:val="16"/>
      <w:lang w:eastAsia="en-US"/>
    </w:rPr>
  </w:style>
  <w:style w:type="paragraph" w:styleId="Titolo6">
    <w:name w:val="heading 6"/>
    <w:basedOn w:val="Normale"/>
    <w:next w:val="Normale"/>
    <w:link w:val="Titolo6Carattere"/>
    <w:uiPriority w:val="9"/>
    <w:semiHidden/>
    <w:unhideWhenUsed/>
    <w:qFormat/>
    <w:rsid w:val="005116EF"/>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5116EF"/>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5116EF"/>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5116EF"/>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link w:val="TitoloCarattere"/>
    <w:uiPriority w:val="10"/>
    <w:qFormat/>
    <w:rsid w:val="005116EF"/>
    <w:pPr>
      <w:spacing w:after="80"/>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character" w:customStyle="1" w:styleId="Titolo1Carattere">
    <w:name w:val="Titolo 1 Carattere"/>
    <w:basedOn w:val="Carpredefinitoparagrafo"/>
    <w:link w:val="Titolo1"/>
    <w:uiPriority w:val="9"/>
    <w:rsid w:val="005116EF"/>
    <w:rPr>
      <w:rFonts w:asciiTheme="majorHAnsi" w:eastAsiaTheme="majorEastAsia" w:hAnsiTheme="majorHAnsi" w:cstheme="majorBidi"/>
      <w:color w:val="0F4761" w:themeColor="accent1" w:themeShade="BF"/>
      <w:kern w:val="0"/>
      <w:sz w:val="40"/>
      <w:szCs w:val="40"/>
      <w:lang w:eastAsia="it-IT"/>
    </w:rPr>
  </w:style>
  <w:style w:type="character" w:customStyle="1" w:styleId="Titolo2Carattere">
    <w:name w:val="Titolo 2 Carattere"/>
    <w:basedOn w:val="Carpredefinitoparagrafo"/>
    <w:link w:val="Titolo2"/>
    <w:uiPriority w:val="9"/>
    <w:rsid w:val="005116EF"/>
    <w:rPr>
      <w:rFonts w:ascii="Times New Roman" w:eastAsia="Times New Roman" w:hAnsi="Times New Roman" w:cs="Times New Roman"/>
      <w:b/>
      <w:kern w:val="0"/>
      <w:lang w:eastAsia="it-IT"/>
    </w:rPr>
  </w:style>
  <w:style w:type="character" w:customStyle="1" w:styleId="Titolo3Carattere">
    <w:name w:val="Titolo 3 Carattere"/>
    <w:basedOn w:val="Carpredefinitoparagrafo"/>
    <w:link w:val="Titolo3"/>
    <w:uiPriority w:val="9"/>
    <w:rsid w:val="005116EF"/>
    <w:rPr>
      <w:rFonts w:ascii="Arial" w:eastAsia="Arial" w:hAnsi="Arial" w:cs="Arial"/>
      <w:b/>
      <w:bCs/>
      <w:kern w:val="0"/>
      <w:sz w:val="18"/>
      <w:szCs w:val="18"/>
    </w:rPr>
  </w:style>
  <w:style w:type="character" w:customStyle="1" w:styleId="Titolo4Carattere">
    <w:name w:val="Titolo 4 Carattere"/>
    <w:basedOn w:val="Carpredefinitoparagrafo"/>
    <w:link w:val="Titolo4"/>
    <w:uiPriority w:val="9"/>
    <w:rsid w:val="005116EF"/>
    <w:rPr>
      <w:rFonts w:ascii="Arial" w:eastAsia="Arial" w:hAnsi="Arial" w:cs="Arial"/>
      <w:b/>
      <w:bCs/>
      <w:kern w:val="0"/>
      <w:sz w:val="16"/>
      <w:szCs w:val="16"/>
    </w:rPr>
  </w:style>
  <w:style w:type="character" w:customStyle="1" w:styleId="Titolo5Carattere">
    <w:name w:val="Titolo 5 Carattere"/>
    <w:basedOn w:val="Carpredefinitoparagrafo"/>
    <w:link w:val="Titolo5"/>
    <w:uiPriority w:val="9"/>
    <w:rsid w:val="005116EF"/>
    <w:rPr>
      <w:rFonts w:ascii="Arial" w:eastAsia="Arial" w:hAnsi="Arial" w:cs="Arial"/>
      <w:b/>
      <w:bCs/>
      <w:kern w:val="0"/>
      <w:sz w:val="16"/>
      <w:szCs w:val="16"/>
    </w:rPr>
  </w:style>
  <w:style w:type="character" w:customStyle="1" w:styleId="Titolo6Carattere">
    <w:name w:val="Titolo 6 Carattere"/>
    <w:basedOn w:val="Carpredefinitoparagrafo"/>
    <w:link w:val="Titolo6"/>
    <w:uiPriority w:val="9"/>
    <w:semiHidden/>
    <w:rsid w:val="005116E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5116E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5116E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5116EF"/>
    <w:rPr>
      <w:rFonts w:eastAsiaTheme="majorEastAsia" w:cstheme="majorBidi"/>
      <w:color w:val="272727" w:themeColor="text1" w:themeTint="D8"/>
    </w:rPr>
  </w:style>
  <w:style w:type="character" w:customStyle="1" w:styleId="TitoloCarattere">
    <w:name w:val="Titolo Carattere"/>
    <w:basedOn w:val="Carpredefinitoparagrafo"/>
    <w:link w:val="Titolo"/>
    <w:uiPriority w:val="10"/>
    <w:rsid w:val="005116E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Pr>
      <w:color w:val="595959"/>
      <w:sz w:val="28"/>
      <w:szCs w:val="28"/>
    </w:rPr>
  </w:style>
  <w:style w:type="character" w:customStyle="1" w:styleId="SottotitoloCarattere">
    <w:name w:val="Sottotitolo Carattere"/>
    <w:basedOn w:val="Carpredefinitoparagrafo"/>
    <w:link w:val="Sottotitolo"/>
    <w:uiPriority w:val="11"/>
    <w:rsid w:val="005116E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5116E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5116EF"/>
    <w:rPr>
      <w:i/>
      <w:iCs/>
      <w:color w:val="404040" w:themeColor="text1" w:themeTint="BF"/>
    </w:rPr>
  </w:style>
  <w:style w:type="paragraph" w:styleId="Paragrafoelenco">
    <w:name w:val="List Paragraph"/>
    <w:aliases w:val="Elenco puntato,Titolo Paragrafo,Question,Paragrafo elenco 1°liv,EL Paragrafo elenco,Paragrafo elenco puntato,Paragrafo elenco 2,List Paragraph11,List Paragraph1,Recommendation,L,CV text,Table text,List Paragraph2,F5 List Paragraph,Dot p"/>
    <w:basedOn w:val="Normale"/>
    <w:link w:val="ParagrafoelencoCarattere"/>
    <w:uiPriority w:val="34"/>
    <w:qFormat/>
    <w:rsid w:val="005116EF"/>
    <w:pPr>
      <w:ind w:left="720"/>
      <w:contextualSpacing/>
    </w:pPr>
  </w:style>
  <w:style w:type="character" w:styleId="Enfasiintensa">
    <w:name w:val="Intense Emphasis"/>
    <w:basedOn w:val="Carpredefinitoparagrafo"/>
    <w:uiPriority w:val="21"/>
    <w:qFormat/>
    <w:rsid w:val="005116EF"/>
    <w:rPr>
      <w:i/>
      <w:iCs/>
      <w:color w:val="0F4761" w:themeColor="accent1" w:themeShade="BF"/>
    </w:rPr>
  </w:style>
  <w:style w:type="paragraph" w:styleId="Citazioneintensa">
    <w:name w:val="Intense Quote"/>
    <w:basedOn w:val="Normale"/>
    <w:next w:val="Normale"/>
    <w:link w:val="CitazioneintensaCarattere"/>
    <w:uiPriority w:val="30"/>
    <w:qFormat/>
    <w:rsid w:val="005116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5116EF"/>
    <w:rPr>
      <w:i/>
      <w:iCs/>
      <w:color w:val="0F4761" w:themeColor="accent1" w:themeShade="BF"/>
    </w:rPr>
  </w:style>
  <w:style w:type="character" w:styleId="Riferimentointenso">
    <w:name w:val="Intense Reference"/>
    <w:basedOn w:val="Carpredefinitoparagrafo"/>
    <w:uiPriority w:val="32"/>
    <w:qFormat/>
    <w:rsid w:val="005116EF"/>
    <w:rPr>
      <w:b/>
      <w:bCs/>
      <w:smallCaps/>
      <w:color w:val="0F4761" w:themeColor="accent1" w:themeShade="BF"/>
      <w:spacing w:val="5"/>
    </w:rPr>
  </w:style>
  <w:style w:type="paragraph" w:styleId="Intestazione">
    <w:name w:val="header"/>
    <w:basedOn w:val="Normale"/>
    <w:link w:val="IntestazioneCarattere"/>
    <w:uiPriority w:val="99"/>
    <w:unhideWhenUsed/>
    <w:rsid w:val="00720EAF"/>
    <w:pPr>
      <w:tabs>
        <w:tab w:val="center" w:pos="4819"/>
        <w:tab w:val="right" w:pos="9638"/>
      </w:tabs>
    </w:pPr>
    <w:rPr>
      <w:rFonts w:asciiTheme="minorHAnsi" w:eastAsiaTheme="minorHAnsi" w:hAnsiTheme="minorHAnsi" w:cstheme="minorBidi"/>
      <w:sz w:val="22"/>
      <w:szCs w:val="22"/>
      <w:lang w:eastAsia="en-US"/>
    </w:rPr>
  </w:style>
  <w:style w:type="character" w:customStyle="1" w:styleId="IntestazioneCarattere">
    <w:name w:val="Intestazione Carattere"/>
    <w:basedOn w:val="Carpredefinitoparagrafo"/>
    <w:link w:val="Intestazione"/>
    <w:uiPriority w:val="99"/>
    <w:rsid w:val="005116EF"/>
    <w:rPr>
      <w:kern w:val="0"/>
      <w:sz w:val="22"/>
      <w:szCs w:val="22"/>
    </w:rPr>
  </w:style>
  <w:style w:type="paragraph" w:styleId="Pidipagina">
    <w:name w:val="footer"/>
    <w:basedOn w:val="Normale"/>
    <w:link w:val="PidipaginaCarattere"/>
    <w:uiPriority w:val="99"/>
    <w:unhideWhenUsed/>
    <w:rsid w:val="00720EAF"/>
    <w:pPr>
      <w:tabs>
        <w:tab w:val="center" w:pos="4819"/>
        <w:tab w:val="right" w:pos="9638"/>
      </w:tabs>
    </w:pPr>
    <w:rPr>
      <w:rFonts w:asciiTheme="minorHAnsi" w:eastAsiaTheme="minorHAnsi" w:hAnsiTheme="minorHAnsi" w:cstheme="minorBidi"/>
      <w:sz w:val="22"/>
      <w:szCs w:val="22"/>
      <w:lang w:eastAsia="en-US"/>
    </w:rPr>
  </w:style>
  <w:style w:type="character" w:customStyle="1" w:styleId="PidipaginaCarattere">
    <w:name w:val="Piè di pagina Carattere"/>
    <w:basedOn w:val="Carpredefinitoparagrafo"/>
    <w:link w:val="Pidipagina"/>
    <w:uiPriority w:val="99"/>
    <w:rsid w:val="005116EF"/>
    <w:rPr>
      <w:kern w:val="0"/>
      <w:sz w:val="22"/>
      <w:szCs w:val="22"/>
    </w:rPr>
  </w:style>
  <w:style w:type="paragraph" w:styleId="Testofumetto">
    <w:name w:val="Balloon Text"/>
    <w:basedOn w:val="Normale"/>
    <w:link w:val="TestofumettoCarattere"/>
    <w:uiPriority w:val="99"/>
    <w:semiHidden/>
    <w:unhideWhenUsed/>
    <w:rsid w:val="005116EF"/>
    <w:rPr>
      <w:rFonts w:ascii="Tahoma" w:eastAsiaTheme="minorHAnsi" w:hAnsi="Tahoma" w:cs="Tahoma"/>
      <w:sz w:val="16"/>
      <w:szCs w:val="16"/>
      <w:lang w:eastAsia="en-US"/>
    </w:rPr>
  </w:style>
  <w:style w:type="character" w:customStyle="1" w:styleId="TestofumettoCarattere">
    <w:name w:val="Testo fumetto Carattere"/>
    <w:basedOn w:val="Carpredefinitoparagrafo"/>
    <w:link w:val="Testofumetto"/>
    <w:uiPriority w:val="99"/>
    <w:semiHidden/>
    <w:rsid w:val="005116EF"/>
    <w:rPr>
      <w:rFonts w:ascii="Tahoma" w:hAnsi="Tahoma" w:cs="Tahoma"/>
      <w:kern w:val="0"/>
      <w:sz w:val="16"/>
      <w:szCs w:val="16"/>
    </w:rPr>
  </w:style>
  <w:style w:type="paragraph" w:customStyle="1" w:styleId="Default">
    <w:name w:val="Default"/>
    <w:rsid w:val="00450ACA"/>
    <w:pPr>
      <w:autoSpaceDE w:val="0"/>
      <w:autoSpaceDN w:val="0"/>
      <w:adjustRightInd w:val="0"/>
    </w:pPr>
    <w:rPr>
      <w:rFonts w:ascii="Calibri" w:hAnsi="Calibri" w:cs="Calibri"/>
      <w:color w:val="000000"/>
    </w:rPr>
  </w:style>
  <w:style w:type="table" w:styleId="Grigliatabella">
    <w:name w:val="Table Grid"/>
    <w:basedOn w:val="Tabellanormale"/>
    <w:uiPriority w:val="39"/>
    <w:rsid w:val="005116E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5116EF"/>
    <w:rPr>
      <w:color w:val="0563C1"/>
      <w:u w:val="single"/>
    </w:rPr>
  </w:style>
  <w:style w:type="character" w:styleId="Menzionenonrisolta">
    <w:name w:val="Unresolved Mention"/>
    <w:basedOn w:val="Carpredefinitoparagrafo"/>
    <w:uiPriority w:val="99"/>
    <w:semiHidden/>
    <w:unhideWhenUsed/>
    <w:rsid w:val="005116EF"/>
    <w:rPr>
      <w:color w:val="605E5C"/>
      <w:shd w:val="clear" w:color="auto" w:fill="E1DFDD"/>
    </w:rPr>
  </w:style>
  <w:style w:type="character" w:customStyle="1" w:styleId="fontstyle01">
    <w:name w:val="fontstyle01"/>
    <w:basedOn w:val="Carpredefinitoparagrafo"/>
    <w:rsid w:val="005116EF"/>
    <w:rPr>
      <w:rFonts w:ascii="TimesNewRomanPSMT" w:hAnsi="TimesNewRomanPSMT" w:hint="default"/>
      <w:b w:val="0"/>
      <w:bCs w:val="0"/>
      <w:i w:val="0"/>
      <w:iCs w:val="0"/>
      <w:color w:val="000000"/>
      <w:sz w:val="24"/>
      <w:szCs w:val="24"/>
    </w:rPr>
  </w:style>
  <w:style w:type="character" w:customStyle="1" w:styleId="fontstyle21">
    <w:name w:val="fontstyle21"/>
    <w:basedOn w:val="Carpredefinitoparagrafo"/>
    <w:rsid w:val="005116EF"/>
    <w:rPr>
      <w:rFonts w:ascii="TimesNewRomanPS-BoldMT" w:hAnsi="TimesNewRomanPS-BoldMT" w:hint="default"/>
      <w:b/>
      <w:bCs/>
      <w:i w:val="0"/>
      <w:iCs w:val="0"/>
      <w:color w:val="000000"/>
      <w:sz w:val="24"/>
      <w:szCs w:val="24"/>
    </w:rPr>
  </w:style>
  <w:style w:type="character" w:customStyle="1" w:styleId="fontstyle31">
    <w:name w:val="fontstyle31"/>
    <w:basedOn w:val="Carpredefinitoparagrafo"/>
    <w:rsid w:val="005116EF"/>
    <w:rPr>
      <w:rFonts w:ascii="SymbolMT" w:hAnsi="SymbolMT" w:hint="default"/>
      <w:b w:val="0"/>
      <w:bCs w:val="0"/>
      <w:i w:val="0"/>
      <w:iCs w:val="0"/>
      <w:color w:val="000000"/>
      <w:sz w:val="22"/>
      <w:szCs w:val="22"/>
    </w:rPr>
  </w:style>
  <w:style w:type="character" w:customStyle="1" w:styleId="fontstyle41">
    <w:name w:val="fontstyle41"/>
    <w:basedOn w:val="Carpredefinitoparagrafo"/>
    <w:rsid w:val="005116EF"/>
    <w:rPr>
      <w:rFonts w:ascii="CourierNewPSMT" w:hAnsi="CourierNewPSMT" w:hint="default"/>
      <w:b w:val="0"/>
      <w:bCs w:val="0"/>
      <w:i w:val="0"/>
      <w:iCs w:val="0"/>
      <w:color w:val="000000"/>
      <w:sz w:val="22"/>
      <w:szCs w:val="22"/>
    </w:rPr>
  </w:style>
  <w:style w:type="paragraph" w:styleId="Titolosommario">
    <w:name w:val="TOC Heading"/>
    <w:basedOn w:val="Titolo1"/>
    <w:next w:val="Normale"/>
    <w:uiPriority w:val="39"/>
    <w:unhideWhenUsed/>
    <w:qFormat/>
    <w:rsid w:val="004E7710"/>
    <w:pPr>
      <w:spacing w:before="240" w:line="259" w:lineRule="auto"/>
      <w:outlineLvl w:val="9"/>
    </w:pPr>
    <w:rPr>
      <w:rFonts w:ascii="Calibri" w:eastAsia="MS Gothic" w:hAnsi="Calibri"/>
      <w:b/>
      <w:color w:val="365F91"/>
      <w:sz w:val="32"/>
      <w:szCs w:val="32"/>
    </w:rPr>
  </w:style>
  <w:style w:type="paragraph" w:styleId="Sommario1">
    <w:name w:val="toc 1"/>
    <w:basedOn w:val="Normale"/>
    <w:next w:val="Normale"/>
    <w:autoRedefine/>
    <w:uiPriority w:val="39"/>
    <w:unhideWhenUsed/>
    <w:rsid w:val="005116EF"/>
    <w:pPr>
      <w:spacing w:after="100"/>
    </w:pPr>
    <w:rPr>
      <w:rFonts w:ascii="Cambria" w:eastAsia="MS Mincho" w:hAnsi="Cambria"/>
    </w:rPr>
  </w:style>
  <w:style w:type="paragraph" w:styleId="Sommario2">
    <w:name w:val="toc 2"/>
    <w:basedOn w:val="Normale"/>
    <w:next w:val="Normale"/>
    <w:autoRedefine/>
    <w:uiPriority w:val="39"/>
    <w:unhideWhenUsed/>
    <w:rsid w:val="005116EF"/>
    <w:pPr>
      <w:spacing w:after="100"/>
      <w:ind w:left="240"/>
    </w:pPr>
    <w:rPr>
      <w:rFonts w:ascii="Cambria" w:eastAsia="MS Mincho" w:hAnsi="Cambria"/>
    </w:rPr>
  </w:style>
  <w:style w:type="paragraph" w:styleId="Testonotaapidipagina">
    <w:name w:val="footnote text"/>
    <w:basedOn w:val="Normale"/>
    <w:link w:val="TestonotaapidipaginaCarattere"/>
    <w:uiPriority w:val="99"/>
    <w:unhideWhenUsed/>
    <w:rsid w:val="0075532D"/>
    <w:rPr>
      <w:sz w:val="20"/>
      <w:szCs w:val="20"/>
    </w:rPr>
  </w:style>
  <w:style w:type="character" w:customStyle="1" w:styleId="TestonotaapidipaginaCarattere">
    <w:name w:val="Testo nota a piè di pagina Carattere"/>
    <w:basedOn w:val="Carpredefinitoparagrafo"/>
    <w:link w:val="Testonotaapidipagina"/>
    <w:uiPriority w:val="99"/>
    <w:rsid w:val="005116EF"/>
    <w:rPr>
      <w:rFonts w:ascii="Times New Roman" w:eastAsia="Times New Roman" w:hAnsi="Times New Roman" w:cs="Times New Roman"/>
      <w:kern w:val="0"/>
      <w:sz w:val="20"/>
      <w:szCs w:val="20"/>
      <w:lang w:eastAsia="it-IT"/>
    </w:rPr>
  </w:style>
  <w:style w:type="character" w:styleId="Rimandonotaapidipagina">
    <w:name w:val="footnote reference"/>
    <w:aliases w:val="Footnote symbol"/>
    <w:basedOn w:val="Carpredefinitoparagrafo"/>
    <w:uiPriority w:val="99"/>
    <w:unhideWhenUsed/>
    <w:rsid w:val="0075532D"/>
    <w:rPr>
      <w:vertAlign w:val="superscript"/>
    </w:rPr>
  </w:style>
  <w:style w:type="table" w:customStyle="1" w:styleId="TableNormal1">
    <w:name w:val="Table Normal"/>
    <w:uiPriority w:val="2"/>
    <w:semiHidden/>
    <w:unhideWhenUsed/>
    <w:qFormat/>
    <w:rsid w:val="005116EF"/>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5116EF"/>
    <w:pPr>
      <w:widowControl w:val="0"/>
      <w:autoSpaceDE w:val="0"/>
      <w:autoSpaceDN w:val="0"/>
    </w:pPr>
    <w:rPr>
      <w:rFonts w:ascii="Arial" w:eastAsia="Arial" w:hAnsi="Arial" w:cs="Arial"/>
      <w:sz w:val="16"/>
      <w:szCs w:val="16"/>
      <w:lang w:eastAsia="en-US"/>
    </w:rPr>
  </w:style>
  <w:style w:type="character" w:customStyle="1" w:styleId="CorpotestoCarattere">
    <w:name w:val="Corpo testo Carattere"/>
    <w:basedOn w:val="Carpredefinitoparagrafo"/>
    <w:link w:val="Corpotesto"/>
    <w:uiPriority w:val="1"/>
    <w:rsid w:val="005116EF"/>
    <w:rPr>
      <w:rFonts w:ascii="Arial" w:eastAsia="Arial" w:hAnsi="Arial" w:cs="Arial"/>
      <w:kern w:val="0"/>
      <w:sz w:val="16"/>
      <w:szCs w:val="16"/>
    </w:rPr>
  </w:style>
  <w:style w:type="paragraph" w:customStyle="1" w:styleId="TableParagraph">
    <w:name w:val="Table Paragraph"/>
    <w:basedOn w:val="Normale"/>
    <w:uiPriority w:val="1"/>
    <w:qFormat/>
    <w:rsid w:val="005116EF"/>
    <w:pPr>
      <w:widowControl w:val="0"/>
      <w:autoSpaceDE w:val="0"/>
      <w:autoSpaceDN w:val="0"/>
    </w:pPr>
    <w:rPr>
      <w:rFonts w:ascii="Carlito" w:eastAsia="Carlito" w:hAnsi="Carlito" w:cs="Carlito"/>
      <w:sz w:val="22"/>
      <w:szCs w:val="22"/>
      <w:lang w:eastAsia="en-US"/>
    </w:rPr>
  </w:style>
  <w:style w:type="character" w:customStyle="1" w:styleId="ParagrafoelencoCarattere">
    <w:name w:val="Paragrafo elenco Carattere"/>
    <w:aliases w:val="Elenco puntato Carattere,Titolo Paragrafo Carattere,Question Carattere,Paragrafo elenco 1°liv Carattere,EL Paragrafo elenco Carattere,Paragrafo elenco puntato Carattere,Paragrafo elenco 2 Carattere,List Paragraph11 Carattere"/>
    <w:basedOn w:val="Carpredefinitoparagrafo"/>
    <w:link w:val="Paragrafoelenco"/>
    <w:uiPriority w:val="34"/>
    <w:qFormat/>
    <w:rsid w:val="005116EF"/>
  </w:style>
  <w:style w:type="character" w:styleId="Rimandocommento">
    <w:name w:val="annotation reference"/>
    <w:basedOn w:val="Carpredefinitoparagrafo"/>
    <w:uiPriority w:val="99"/>
    <w:semiHidden/>
    <w:unhideWhenUsed/>
    <w:rsid w:val="005116EF"/>
    <w:rPr>
      <w:sz w:val="16"/>
      <w:szCs w:val="16"/>
    </w:rPr>
  </w:style>
  <w:style w:type="paragraph" w:styleId="Testocommento">
    <w:name w:val="annotation text"/>
    <w:basedOn w:val="Normale"/>
    <w:link w:val="TestocommentoCarattere"/>
    <w:uiPriority w:val="99"/>
    <w:unhideWhenUsed/>
    <w:rsid w:val="005116EF"/>
    <w:pPr>
      <w:jc w:val="both"/>
    </w:pPr>
    <w:rPr>
      <w:rFonts w:ascii="Yu Gothic UI" w:eastAsia="Calibri" w:hAnsi="Yu Gothic UI"/>
      <w:sz w:val="17"/>
      <w:szCs w:val="20"/>
      <w:lang w:eastAsia="en-US"/>
    </w:rPr>
  </w:style>
  <w:style w:type="character" w:customStyle="1" w:styleId="TestocommentoCarattere">
    <w:name w:val="Testo commento Carattere"/>
    <w:basedOn w:val="Carpredefinitoparagrafo"/>
    <w:link w:val="Testocommento"/>
    <w:uiPriority w:val="99"/>
    <w:rsid w:val="005116EF"/>
    <w:rPr>
      <w:rFonts w:ascii="Yu Gothic UI" w:eastAsia="Calibri" w:hAnsi="Yu Gothic UI" w:cs="Times New Roman"/>
      <w:kern w:val="0"/>
      <w:sz w:val="17"/>
      <w:szCs w:val="20"/>
    </w:rPr>
  </w:style>
  <w:style w:type="paragraph" w:customStyle="1" w:styleId="pf0">
    <w:name w:val="pf0"/>
    <w:basedOn w:val="Normale"/>
    <w:rsid w:val="005116EF"/>
    <w:pPr>
      <w:spacing w:before="100" w:beforeAutospacing="1" w:after="100" w:afterAutospacing="1"/>
    </w:pPr>
  </w:style>
  <w:style w:type="paragraph" w:styleId="Revisione">
    <w:name w:val="Revision"/>
    <w:hidden/>
    <w:uiPriority w:val="99"/>
    <w:semiHidden/>
    <w:rsid w:val="003007FC"/>
  </w:style>
  <w:style w:type="paragraph" w:customStyle="1" w:styleId="Codici">
    <w:name w:val="Codici"/>
    <w:basedOn w:val="Normale"/>
    <w:rsid w:val="00D11171"/>
    <w:pPr>
      <w:jc w:val="center"/>
    </w:pPr>
    <w:rPr>
      <w:rFonts w:ascii="Helvetica" w:hAnsi="Helvetica"/>
      <w:sz w:val="20"/>
      <w:szCs w:val="20"/>
    </w:rPr>
  </w:style>
  <w:style w:type="character" w:styleId="Collegamentovisitato">
    <w:name w:val="FollowedHyperlink"/>
    <w:basedOn w:val="Carpredefinitoparagrafo"/>
    <w:uiPriority w:val="99"/>
    <w:semiHidden/>
    <w:unhideWhenUsed/>
    <w:rsid w:val="008C4DD1"/>
    <w:rPr>
      <w:color w:val="96607D" w:themeColor="followedHyperlink"/>
      <w:u w:val="single"/>
    </w:rPr>
  </w:style>
  <w:style w:type="table" w:customStyle="1" w:styleId="Grigliatabella1">
    <w:name w:val="Griglia tabella1"/>
    <w:basedOn w:val="Tabellanormale"/>
    <w:next w:val="Grigliatabella"/>
    <w:uiPriority w:val="39"/>
    <w:rsid w:val="00891672"/>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ggettocommento">
    <w:name w:val="annotation subject"/>
    <w:basedOn w:val="Testocommento"/>
    <w:next w:val="Testocommento"/>
    <w:link w:val="SoggettocommentoCarattere"/>
    <w:uiPriority w:val="99"/>
    <w:semiHidden/>
    <w:unhideWhenUsed/>
    <w:rsid w:val="009B2400"/>
    <w:pPr>
      <w:jc w:val="left"/>
    </w:pPr>
    <w:rPr>
      <w:rFonts w:ascii="Times New Roman" w:eastAsia="Times New Roman" w:hAnsi="Times New Roman"/>
      <w:b/>
      <w:bCs/>
      <w:sz w:val="20"/>
      <w:lang w:eastAsia="it-IT"/>
    </w:rPr>
  </w:style>
  <w:style w:type="character" w:customStyle="1" w:styleId="SoggettocommentoCarattere">
    <w:name w:val="Soggetto commento Carattere"/>
    <w:basedOn w:val="TestocommentoCarattere"/>
    <w:link w:val="Soggettocommento"/>
    <w:uiPriority w:val="99"/>
    <w:semiHidden/>
    <w:rsid w:val="009B2400"/>
    <w:rPr>
      <w:rFonts w:ascii="Times New Roman" w:eastAsia="Times New Roman" w:hAnsi="Times New Roman" w:cs="Times New Roman"/>
      <w:b/>
      <w:bCs/>
      <w:kern w:val="0"/>
      <w:sz w:val="20"/>
      <w:szCs w:val="20"/>
      <w:lang w:eastAsia="it-IT"/>
    </w:rPr>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108" w:type="dxa"/>
        <w:right w:w="108" w:type="dxa"/>
      </w:tblCellMar>
    </w:tblPr>
  </w:style>
  <w:style w:type="table" w:customStyle="1" w:styleId="a3">
    <w:basedOn w:val="TableNormal1"/>
    <w:tblPr>
      <w:tblStyleRowBandSize w:val="1"/>
      <w:tblStyleColBandSize w:val="1"/>
      <w:tblCellMar>
        <w:left w:w="108" w:type="dxa"/>
        <w:right w:w="108" w:type="dxa"/>
      </w:tblCellMar>
    </w:tblPr>
  </w:style>
  <w:style w:type="table" w:customStyle="1" w:styleId="a4">
    <w:basedOn w:val="TableNormal1"/>
    <w:tblPr>
      <w:tblStyleRowBandSize w:val="1"/>
      <w:tblStyleColBandSize w:val="1"/>
      <w:tblCellMar>
        <w:left w:w="108" w:type="dxa"/>
        <w:right w:w="108" w:type="dxa"/>
      </w:tblCellMar>
    </w:tblPr>
  </w:style>
  <w:style w:type="table" w:customStyle="1" w:styleId="a5">
    <w:basedOn w:val="TableNormal1"/>
    <w:tblPr>
      <w:tblStyleRowBandSize w:val="1"/>
      <w:tblStyleColBandSize w:val="1"/>
      <w:tblCellMar>
        <w:left w:w="115" w:type="dxa"/>
        <w:right w:w="115" w:type="dxa"/>
      </w:tblCellMar>
    </w:tblPr>
  </w:style>
  <w:style w:type="table" w:customStyle="1" w:styleId="a6">
    <w:basedOn w:val="TableNormal1"/>
    <w:tblPr>
      <w:tblStyleRowBandSize w:val="1"/>
      <w:tblStyleColBandSize w:val="1"/>
      <w:tblCellMar>
        <w:left w:w="115" w:type="dxa"/>
        <w:right w:w="115" w:type="dxa"/>
      </w:tblCellMar>
    </w:tblPr>
  </w:style>
  <w:style w:type="table" w:customStyle="1" w:styleId="a7">
    <w:basedOn w:val="TableNormal1"/>
    <w:tblPr>
      <w:tblStyleRowBandSize w:val="1"/>
      <w:tblStyleColBandSize w:val="1"/>
      <w:tblCellMar>
        <w:left w:w="115" w:type="dxa"/>
        <w:right w:w="115" w:type="dxa"/>
      </w:tblCellMar>
    </w:tblPr>
  </w:style>
  <w:style w:type="table" w:customStyle="1" w:styleId="a8">
    <w:basedOn w:val="TableNormal1"/>
    <w:tblPr>
      <w:tblStyleRowBandSize w:val="1"/>
      <w:tblStyleColBandSize w:val="1"/>
      <w:tblCellMar>
        <w:left w:w="115" w:type="dxa"/>
        <w:right w:w="115" w:type="dxa"/>
      </w:tblCellMar>
    </w:tblPr>
  </w:style>
  <w:style w:type="table" w:customStyle="1" w:styleId="a9">
    <w:basedOn w:val="TableNormal1"/>
    <w:tblPr>
      <w:tblStyleRowBandSize w:val="1"/>
      <w:tblStyleColBandSize w:val="1"/>
      <w:tblCellMar>
        <w:left w:w="115" w:type="dxa"/>
        <w:right w:w="115" w:type="dxa"/>
      </w:tblCellMar>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CellMar>
        <w:top w:w="100" w:type="dxa"/>
        <w:left w:w="100" w:type="dxa"/>
        <w:bottom w:w="100" w:type="dxa"/>
        <w:right w:w="100" w:type="dxa"/>
      </w:tblCellMar>
    </w:tblPr>
  </w:style>
  <w:style w:type="table" w:customStyle="1" w:styleId="ad">
    <w:basedOn w:val="TableNormal1"/>
    <w:tblPr>
      <w:tblStyleRowBandSize w:val="1"/>
      <w:tblStyleColBandSize w:val="1"/>
      <w:tblCellMar>
        <w:left w:w="108" w:type="dxa"/>
        <w:right w:w="108" w:type="dxa"/>
      </w:tblCellMar>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CellMar>
        <w:left w:w="115" w:type="dxa"/>
        <w:right w:w="115" w:type="dxa"/>
      </w:tblCellMar>
    </w:tblPr>
  </w:style>
  <w:style w:type="table" w:customStyle="1" w:styleId="af4">
    <w:basedOn w:val="TableNormal1"/>
    <w:tblPr>
      <w:tblStyleRowBandSize w:val="1"/>
      <w:tblStyleColBandSize w:val="1"/>
      <w:tblCellMar>
        <w:left w:w="108" w:type="dxa"/>
        <w:right w:w="108" w:type="dxa"/>
      </w:tblCellMar>
    </w:tblPr>
  </w:style>
  <w:style w:type="table" w:customStyle="1" w:styleId="af5">
    <w:basedOn w:val="TableNormal0"/>
    <w:pPr>
      <w:widowControl w:val="0"/>
    </w:pPr>
    <w:rPr>
      <w:sz w:val="22"/>
      <w:szCs w:val="22"/>
    </w:rPr>
    <w:tblPr>
      <w:tblStyleRowBandSize w:val="1"/>
      <w:tblStyleColBandSize w:val="1"/>
      <w:tblCellMar>
        <w:left w:w="115" w:type="dxa"/>
        <w:right w:w="115" w:type="dxa"/>
      </w:tblCellMar>
    </w:tblPr>
  </w:style>
  <w:style w:type="table" w:customStyle="1" w:styleId="af6">
    <w:basedOn w:val="TableNormal0"/>
    <w:pPr>
      <w:widowControl w:val="0"/>
    </w:pPr>
    <w:rPr>
      <w:sz w:val="22"/>
      <w:szCs w:val="22"/>
    </w:rPr>
    <w:tblPr>
      <w:tblStyleRowBandSize w:val="1"/>
      <w:tblStyleColBandSize w:val="1"/>
      <w:tblCellMar>
        <w:left w:w="108" w:type="dxa"/>
        <w:right w:w="108" w:type="dxa"/>
      </w:tblCellMar>
    </w:tblPr>
  </w:style>
  <w:style w:type="table" w:customStyle="1" w:styleId="af7">
    <w:basedOn w:val="TableNormal0"/>
    <w:pPr>
      <w:widowControl w:val="0"/>
    </w:pPr>
    <w:rPr>
      <w:sz w:val="22"/>
      <w:szCs w:val="22"/>
    </w:rPr>
    <w:tblPr>
      <w:tblStyleRowBandSize w:val="1"/>
      <w:tblStyleColBandSize w:val="1"/>
      <w:tblCellMar>
        <w:left w:w="108" w:type="dxa"/>
        <w:right w:w="108" w:type="dxa"/>
      </w:tblCellMar>
    </w:tblPr>
  </w:style>
  <w:style w:type="table" w:customStyle="1" w:styleId="af8">
    <w:basedOn w:val="TableNormal0"/>
    <w:pPr>
      <w:widowControl w:val="0"/>
    </w:pPr>
    <w:rPr>
      <w:sz w:val="22"/>
      <w:szCs w:val="22"/>
    </w:rPr>
    <w:tblPr>
      <w:tblStyleRowBandSize w:val="1"/>
      <w:tblStyleColBandSize w:val="1"/>
      <w:tblCellMar>
        <w:left w:w="108" w:type="dxa"/>
        <w:right w:w="108" w:type="dxa"/>
      </w:tblCellMar>
    </w:tblPr>
  </w:style>
  <w:style w:type="table" w:customStyle="1" w:styleId="af9">
    <w:basedOn w:val="TableNormal0"/>
    <w:pPr>
      <w:widowControl w:val="0"/>
    </w:pPr>
    <w:rPr>
      <w:sz w:val="22"/>
      <w:szCs w:val="22"/>
    </w:rPr>
    <w:tblPr>
      <w:tblStyleRowBandSize w:val="1"/>
      <w:tblStyleColBandSize w:val="1"/>
      <w:tblCellMar>
        <w:left w:w="115" w:type="dxa"/>
        <w:right w:w="115" w:type="dxa"/>
      </w:tblCellMar>
    </w:tblPr>
  </w:style>
  <w:style w:type="table" w:customStyle="1" w:styleId="afa">
    <w:basedOn w:val="TableNormal0"/>
    <w:pPr>
      <w:widowControl w:val="0"/>
    </w:pPr>
    <w:rPr>
      <w:sz w:val="22"/>
      <w:szCs w:val="22"/>
    </w:rPr>
    <w:tblPr>
      <w:tblStyleRowBandSize w:val="1"/>
      <w:tblStyleColBandSize w:val="1"/>
      <w:tblCellMar>
        <w:left w:w="115" w:type="dxa"/>
        <w:right w:w="115" w:type="dxa"/>
      </w:tblCellMar>
    </w:tblPr>
  </w:style>
  <w:style w:type="table" w:customStyle="1" w:styleId="afb">
    <w:basedOn w:val="TableNormal0"/>
    <w:pPr>
      <w:widowControl w:val="0"/>
    </w:pPr>
    <w:rPr>
      <w:sz w:val="22"/>
      <w:szCs w:val="22"/>
    </w:rPr>
    <w:tblPr>
      <w:tblStyleRowBandSize w:val="1"/>
      <w:tblStyleColBandSize w:val="1"/>
      <w:tblCellMar>
        <w:left w:w="115" w:type="dxa"/>
        <w:right w:w="115" w:type="dxa"/>
      </w:tblCellMar>
    </w:tblPr>
  </w:style>
  <w:style w:type="table" w:customStyle="1" w:styleId="afc">
    <w:basedOn w:val="TableNormal0"/>
    <w:pPr>
      <w:widowControl w:val="0"/>
    </w:pPr>
    <w:rPr>
      <w:sz w:val="22"/>
      <w:szCs w:val="22"/>
    </w:rPr>
    <w:tblPr>
      <w:tblStyleRowBandSize w:val="1"/>
      <w:tblStyleColBandSize w:val="1"/>
      <w:tblCellMar>
        <w:left w:w="115" w:type="dxa"/>
        <w:right w:w="115" w:type="dxa"/>
      </w:tblCellMar>
    </w:tblPr>
  </w:style>
  <w:style w:type="table" w:customStyle="1" w:styleId="afd">
    <w:basedOn w:val="TableNormal0"/>
    <w:pPr>
      <w:widowControl w:val="0"/>
    </w:pPr>
    <w:rPr>
      <w:sz w:val="22"/>
      <w:szCs w:val="22"/>
    </w:rPr>
    <w:tblPr>
      <w:tblStyleRowBandSize w:val="1"/>
      <w:tblStyleColBandSize w:val="1"/>
      <w:tblCellMar>
        <w:left w:w="115" w:type="dxa"/>
        <w:right w:w="115" w:type="dxa"/>
      </w:tblCellMar>
    </w:tblPr>
  </w:style>
  <w:style w:type="table" w:customStyle="1" w:styleId="afe">
    <w:basedOn w:val="TableNormal0"/>
    <w:pPr>
      <w:widowControl w:val="0"/>
    </w:pPr>
    <w:rPr>
      <w:sz w:val="22"/>
      <w:szCs w:val="22"/>
    </w:rPr>
    <w:tblPr>
      <w:tblStyleRowBandSize w:val="1"/>
      <w:tblStyleColBandSize w:val="1"/>
    </w:tblPr>
  </w:style>
  <w:style w:type="table" w:customStyle="1" w:styleId="aff">
    <w:basedOn w:val="TableNormal0"/>
    <w:pPr>
      <w:widowControl w:val="0"/>
    </w:pPr>
    <w:rPr>
      <w:sz w:val="22"/>
      <w:szCs w:val="22"/>
    </w:rPr>
    <w:tblPr>
      <w:tblStyleRowBandSize w:val="1"/>
      <w:tblStyleColBandSize w:val="1"/>
    </w:tblPr>
  </w:style>
  <w:style w:type="table" w:customStyle="1" w:styleId="aff0">
    <w:basedOn w:val="TableNormal0"/>
    <w:tblPr>
      <w:tblStyleRowBandSize w:val="1"/>
      <w:tblStyleColBandSize w:val="1"/>
      <w:tblCellMar>
        <w:top w:w="100" w:type="dxa"/>
        <w:left w:w="100" w:type="dxa"/>
        <w:bottom w:w="100" w:type="dxa"/>
        <w:right w:w="100" w:type="dxa"/>
      </w:tblCellMar>
    </w:tblPr>
  </w:style>
  <w:style w:type="table" w:customStyle="1" w:styleId="aff1">
    <w:basedOn w:val="TableNormal0"/>
    <w:pPr>
      <w:widowControl w:val="0"/>
    </w:pPr>
    <w:rPr>
      <w:sz w:val="22"/>
      <w:szCs w:val="22"/>
    </w:rPr>
    <w:tblPr>
      <w:tblStyleRowBandSize w:val="1"/>
      <w:tblStyleColBandSize w:val="1"/>
      <w:tblCellMar>
        <w:left w:w="108" w:type="dxa"/>
        <w:right w:w="108" w:type="dxa"/>
      </w:tblCellMar>
    </w:tblPr>
  </w:style>
  <w:style w:type="table" w:customStyle="1" w:styleId="aff2">
    <w:basedOn w:val="TableNormal0"/>
    <w:pPr>
      <w:widowControl w:val="0"/>
    </w:pPr>
    <w:rPr>
      <w:sz w:val="22"/>
      <w:szCs w:val="22"/>
    </w:rPr>
    <w:tblPr>
      <w:tblStyleRowBandSize w:val="1"/>
      <w:tblStyleColBandSize w:val="1"/>
    </w:tblPr>
  </w:style>
  <w:style w:type="table" w:customStyle="1" w:styleId="aff3">
    <w:basedOn w:val="TableNormal0"/>
    <w:pPr>
      <w:widowControl w:val="0"/>
    </w:pPr>
    <w:rPr>
      <w:sz w:val="22"/>
      <w:szCs w:val="22"/>
    </w:rPr>
    <w:tblPr>
      <w:tblStyleRowBandSize w:val="1"/>
      <w:tblStyleColBandSize w:val="1"/>
    </w:tblPr>
  </w:style>
  <w:style w:type="table" w:customStyle="1" w:styleId="aff4">
    <w:basedOn w:val="TableNormal0"/>
    <w:pPr>
      <w:widowControl w:val="0"/>
    </w:pPr>
    <w:rPr>
      <w:sz w:val="22"/>
      <w:szCs w:val="22"/>
    </w:rPr>
    <w:tblPr>
      <w:tblStyleRowBandSize w:val="1"/>
      <w:tblStyleColBandSize w:val="1"/>
    </w:tblPr>
  </w:style>
  <w:style w:type="table" w:customStyle="1" w:styleId="aff5">
    <w:basedOn w:val="TableNormal0"/>
    <w:pPr>
      <w:widowControl w:val="0"/>
    </w:pPr>
    <w:rPr>
      <w:sz w:val="22"/>
      <w:szCs w:val="22"/>
    </w:rPr>
    <w:tblPr>
      <w:tblStyleRowBandSize w:val="1"/>
      <w:tblStyleColBandSize w:val="1"/>
    </w:tblPr>
  </w:style>
  <w:style w:type="table" w:customStyle="1" w:styleId="aff6">
    <w:basedOn w:val="TableNormal0"/>
    <w:pPr>
      <w:widowControl w:val="0"/>
    </w:pPr>
    <w:rPr>
      <w:sz w:val="22"/>
      <w:szCs w:val="22"/>
    </w:rPr>
    <w:tblPr>
      <w:tblStyleRowBandSize w:val="1"/>
      <w:tblStyleColBandSize w:val="1"/>
    </w:tblPr>
  </w:style>
  <w:style w:type="table" w:customStyle="1" w:styleId="aff7">
    <w:basedOn w:val="TableNormal0"/>
    <w:pPr>
      <w:widowControl w:val="0"/>
    </w:pPr>
    <w:rPr>
      <w:sz w:val="22"/>
      <w:szCs w:val="22"/>
    </w:rPr>
    <w:tblPr>
      <w:tblStyleRowBandSize w:val="1"/>
      <w:tblStyleColBandSize w:val="1"/>
      <w:tblCellMar>
        <w:left w:w="115" w:type="dxa"/>
        <w:right w:w="115" w:type="dxa"/>
      </w:tblCellMar>
    </w:tblPr>
  </w:style>
  <w:style w:type="table" w:customStyle="1" w:styleId="aff8">
    <w:basedOn w:val="TableNormal0"/>
    <w:pPr>
      <w:widowControl w:val="0"/>
    </w:pPr>
    <w:rPr>
      <w:sz w:val="22"/>
      <w:szCs w:val="22"/>
    </w:r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mailto:galcollinebergamasche@pec.buffetti.it" TargetMode="External"/><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76e5sJ+J1aDqn1PxEmDTNr3w8hw==">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1853</Words>
  <Characters>10567</Characters>
  <Application>Microsoft Office Word</Application>
  <DocSecurity>0</DocSecurity>
  <Lines>88</Lines>
  <Paragraphs>24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12396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Antonella Bugliesi</dc:creator>
  <cp:lastModifiedBy>GAL dei Colli di Bergamo e del Canto Alto</cp:lastModifiedBy>
  <cp:revision>2</cp:revision>
  <dcterms:created xsi:type="dcterms:W3CDTF">2025-06-04T10:29:00Z</dcterms:created>
  <dcterms:modified xsi:type="dcterms:W3CDTF">2025-06-04T10:29:00Z</dcterms:modified>
</cp:coreProperties>
</file>